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4C" w:rsidRPr="00E32176" w:rsidRDefault="003D2C4C" w:rsidP="00E32176">
      <w:pPr>
        <w:spacing w:after="0" w:line="360" w:lineRule="auto"/>
        <w:jc w:val="center"/>
        <w:rPr>
          <w:rFonts w:cstheme="minorHAnsi"/>
          <w:b/>
          <w:sz w:val="24"/>
          <w:szCs w:val="24"/>
        </w:rPr>
      </w:pPr>
      <w:r w:rsidRPr="00E32176">
        <w:rPr>
          <w:rFonts w:cstheme="minorHAnsi"/>
          <w:b/>
          <w:sz w:val="24"/>
          <w:szCs w:val="24"/>
        </w:rPr>
        <w:t>LA FINANZA TERRITORIALE</w:t>
      </w:r>
    </w:p>
    <w:p w:rsidR="003D2C4C" w:rsidRDefault="003D2C4C" w:rsidP="00E32176">
      <w:pPr>
        <w:spacing w:after="0" w:line="360" w:lineRule="auto"/>
        <w:jc w:val="center"/>
        <w:rPr>
          <w:rFonts w:cstheme="minorHAnsi"/>
          <w:b/>
          <w:sz w:val="24"/>
          <w:szCs w:val="24"/>
        </w:rPr>
      </w:pPr>
      <w:r w:rsidRPr="00E32176">
        <w:rPr>
          <w:rFonts w:cstheme="minorHAnsi"/>
          <w:b/>
          <w:sz w:val="24"/>
          <w:szCs w:val="24"/>
        </w:rPr>
        <w:t>Rapporto 2019</w:t>
      </w:r>
    </w:p>
    <w:p w:rsidR="00E32176" w:rsidRDefault="00E32176" w:rsidP="00E32176">
      <w:pPr>
        <w:spacing w:after="0" w:line="360" w:lineRule="auto"/>
        <w:jc w:val="center"/>
        <w:rPr>
          <w:rFonts w:cstheme="minorHAnsi"/>
          <w:b/>
          <w:sz w:val="24"/>
          <w:szCs w:val="24"/>
        </w:rPr>
      </w:pPr>
    </w:p>
    <w:p w:rsidR="00E32176" w:rsidRPr="00E32176" w:rsidRDefault="00E32176" w:rsidP="00E32176">
      <w:pPr>
        <w:spacing w:after="0" w:line="360" w:lineRule="auto"/>
        <w:jc w:val="center"/>
        <w:rPr>
          <w:rFonts w:cstheme="minorHAnsi"/>
          <w:b/>
          <w:sz w:val="24"/>
          <w:szCs w:val="24"/>
        </w:rPr>
      </w:pPr>
    </w:p>
    <w:p w:rsidR="005F5B73" w:rsidRPr="00E32176" w:rsidRDefault="005F5B73" w:rsidP="00E32176">
      <w:pPr>
        <w:spacing w:after="0" w:line="360" w:lineRule="auto"/>
        <w:jc w:val="center"/>
        <w:rPr>
          <w:rFonts w:cstheme="minorHAnsi"/>
          <w:b/>
          <w:sz w:val="24"/>
          <w:szCs w:val="24"/>
        </w:rPr>
      </w:pPr>
      <w:r w:rsidRPr="00E32176">
        <w:rPr>
          <w:rFonts w:cstheme="minorHAnsi"/>
          <w:b/>
          <w:sz w:val="24"/>
          <w:szCs w:val="24"/>
        </w:rPr>
        <w:t>Comunicato stampa</w:t>
      </w:r>
    </w:p>
    <w:p w:rsidR="003D2C4C" w:rsidRDefault="003D2C4C" w:rsidP="00E32176">
      <w:pPr>
        <w:spacing w:after="0" w:line="360" w:lineRule="auto"/>
        <w:jc w:val="both"/>
        <w:rPr>
          <w:rFonts w:cstheme="minorHAnsi"/>
          <w:sz w:val="24"/>
          <w:szCs w:val="24"/>
        </w:rPr>
      </w:pPr>
    </w:p>
    <w:p w:rsidR="00E32176" w:rsidRPr="00E32176" w:rsidRDefault="00E32176" w:rsidP="00E32176">
      <w:pPr>
        <w:spacing w:after="0" w:line="360" w:lineRule="auto"/>
        <w:jc w:val="both"/>
        <w:rPr>
          <w:rFonts w:cstheme="minorHAnsi"/>
          <w:sz w:val="24"/>
          <w:szCs w:val="24"/>
        </w:rPr>
      </w:pPr>
    </w:p>
    <w:p w:rsidR="006C5205" w:rsidRPr="00E32176" w:rsidRDefault="00F0316D" w:rsidP="00E32176">
      <w:pPr>
        <w:spacing w:after="0" w:line="360" w:lineRule="auto"/>
        <w:jc w:val="both"/>
        <w:rPr>
          <w:rFonts w:cstheme="minorHAnsi"/>
          <w:sz w:val="24"/>
          <w:szCs w:val="24"/>
        </w:rPr>
      </w:pPr>
      <w:r w:rsidRPr="00E32176">
        <w:rPr>
          <w:rFonts w:cstheme="minorHAnsi"/>
          <w:sz w:val="24"/>
          <w:szCs w:val="24"/>
        </w:rPr>
        <w:t xml:space="preserve">Il Rapporto sulla Finanza Territoriale </w:t>
      </w:r>
      <w:r w:rsidR="00283C48" w:rsidRPr="00E32176">
        <w:rPr>
          <w:rFonts w:cstheme="minorHAnsi"/>
          <w:sz w:val="24"/>
          <w:szCs w:val="24"/>
        </w:rPr>
        <w:t xml:space="preserve">in Italia </w:t>
      </w:r>
      <w:r w:rsidR="000A73C9" w:rsidRPr="00E32176">
        <w:rPr>
          <w:rFonts w:cstheme="minorHAnsi"/>
          <w:sz w:val="24"/>
          <w:szCs w:val="24"/>
        </w:rPr>
        <w:t xml:space="preserve">ha cadenza annuale ed è </w:t>
      </w:r>
      <w:r w:rsidRPr="00E32176">
        <w:rPr>
          <w:rFonts w:cstheme="minorHAnsi"/>
          <w:sz w:val="24"/>
          <w:szCs w:val="24"/>
        </w:rPr>
        <w:t xml:space="preserve">frutto di una collaborazione tra gli Istituti di ricerca </w:t>
      </w:r>
      <w:r w:rsidR="00793B49" w:rsidRPr="00E32176">
        <w:rPr>
          <w:rFonts w:cstheme="minorHAnsi"/>
          <w:sz w:val="24"/>
          <w:szCs w:val="24"/>
        </w:rPr>
        <w:t>regionali</w:t>
      </w:r>
      <w:r w:rsidRPr="00E32176">
        <w:rPr>
          <w:rFonts w:cstheme="minorHAnsi"/>
          <w:sz w:val="24"/>
          <w:szCs w:val="24"/>
        </w:rPr>
        <w:t>.</w:t>
      </w:r>
      <w:r w:rsidR="00793B49" w:rsidRPr="00E32176">
        <w:rPr>
          <w:rFonts w:cstheme="minorHAnsi"/>
          <w:sz w:val="24"/>
          <w:szCs w:val="24"/>
        </w:rPr>
        <w:t xml:space="preserve"> Compito di questi </w:t>
      </w:r>
      <w:r w:rsidR="002A3A09" w:rsidRPr="00E32176">
        <w:rPr>
          <w:rFonts w:cstheme="minorHAnsi"/>
          <w:sz w:val="24"/>
          <w:szCs w:val="24"/>
        </w:rPr>
        <w:t>I</w:t>
      </w:r>
      <w:r w:rsidR="00793B49" w:rsidRPr="00E32176">
        <w:rPr>
          <w:rFonts w:cstheme="minorHAnsi"/>
          <w:sz w:val="24"/>
          <w:szCs w:val="24"/>
        </w:rPr>
        <w:t xml:space="preserve">stituti è supportare l’attività delle </w:t>
      </w:r>
      <w:r w:rsidR="004559D3" w:rsidRPr="00E32176">
        <w:rPr>
          <w:rFonts w:cstheme="minorHAnsi"/>
          <w:sz w:val="24"/>
          <w:szCs w:val="24"/>
        </w:rPr>
        <w:t>R</w:t>
      </w:r>
      <w:r w:rsidR="00793B49" w:rsidRPr="00E32176">
        <w:rPr>
          <w:rFonts w:cstheme="minorHAnsi"/>
          <w:sz w:val="24"/>
          <w:szCs w:val="24"/>
        </w:rPr>
        <w:t xml:space="preserve">egioni e dei </w:t>
      </w:r>
      <w:r w:rsidR="004559D3" w:rsidRPr="00E32176">
        <w:rPr>
          <w:rFonts w:cstheme="minorHAnsi"/>
          <w:sz w:val="24"/>
          <w:szCs w:val="24"/>
        </w:rPr>
        <w:t>rispettivi Enti territoriali</w:t>
      </w:r>
      <w:r w:rsidR="00793B49" w:rsidRPr="00E32176">
        <w:rPr>
          <w:rFonts w:cstheme="minorHAnsi"/>
          <w:sz w:val="24"/>
          <w:szCs w:val="24"/>
        </w:rPr>
        <w:t xml:space="preserve"> attraverso studi e ricerche. </w:t>
      </w:r>
      <w:r w:rsidR="002A3A09" w:rsidRPr="00E32176">
        <w:rPr>
          <w:rFonts w:cstheme="minorHAnsi"/>
          <w:sz w:val="24"/>
          <w:szCs w:val="24"/>
        </w:rPr>
        <w:t>La redazione del volume</w:t>
      </w:r>
      <w:r w:rsidR="00793B49" w:rsidRPr="00E32176">
        <w:rPr>
          <w:rFonts w:cstheme="minorHAnsi"/>
          <w:sz w:val="24"/>
          <w:szCs w:val="24"/>
        </w:rPr>
        <w:t xml:space="preserve"> rappresenta, quindi, una importante occasione di collaborazione</w:t>
      </w:r>
      <w:r w:rsidR="006C5205" w:rsidRPr="00E32176">
        <w:rPr>
          <w:rFonts w:cstheme="minorHAnsi"/>
          <w:sz w:val="24"/>
          <w:szCs w:val="24"/>
        </w:rPr>
        <w:t xml:space="preserve"> tra aree e </w:t>
      </w:r>
      <w:r w:rsidR="004559D3" w:rsidRPr="00E32176">
        <w:rPr>
          <w:rFonts w:cstheme="minorHAnsi"/>
          <w:sz w:val="24"/>
          <w:szCs w:val="24"/>
        </w:rPr>
        <w:t>A</w:t>
      </w:r>
      <w:r w:rsidR="006C5205" w:rsidRPr="00E32176">
        <w:rPr>
          <w:rFonts w:cstheme="minorHAnsi"/>
          <w:sz w:val="24"/>
          <w:szCs w:val="24"/>
        </w:rPr>
        <w:t>mministrazioni del Paese</w:t>
      </w:r>
      <w:r w:rsidR="00793B49" w:rsidRPr="00E32176">
        <w:rPr>
          <w:rFonts w:cstheme="minorHAnsi"/>
          <w:sz w:val="24"/>
          <w:szCs w:val="24"/>
        </w:rPr>
        <w:t>.</w:t>
      </w:r>
      <w:r w:rsidRPr="00E32176">
        <w:rPr>
          <w:rFonts w:cstheme="minorHAnsi"/>
          <w:sz w:val="24"/>
          <w:szCs w:val="24"/>
        </w:rPr>
        <w:t xml:space="preserve"> </w:t>
      </w:r>
    </w:p>
    <w:p w:rsidR="00F0316D" w:rsidRPr="00E32176" w:rsidRDefault="00793B49" w:rsidP="00E32176">
      <w:pPr>
        <w:spacing w:after="0" w:line="360" w:lineRule="auto"/>
        <w:jc w:val="both"/>
        <w:rPr>
          <w:rFonts w:cstheme="minorHAnsi"/>
          <w:sz w:val="24"/>
          <w:szCs w:val="24"/>
        </w:rPr>
      </w:pPr>
      <w:r w:rsidRPr="00E32176">
        <w:rPr>
          <w:rFonts w:cstheme="minorHAnsi"/>
          <w:sz w:val="24"/>
          <w:szCs w:val="24"/>
        </w:rPr>
        <w:t xml:space="preserve">Il </w:t>
      </w:r>
      <w:r w:rsidR="004559D3" w:rsidRPr="00E32176">
        <w:rPr>
          <w:rFonts w:cstheme="minorHAnsi"/>
          <w:sz w:val="24"/>
          <w:szCs w:val="24"/>
        </w:rPr>
        <w:t>R</w:t>
      </w:r>
      <w:r w:rsidRPr="00E32176">
        <w:rPr>
          <w:rFonts w:cstheme="minorHAnsi"/>
          <w:sz w:val="24"/>
          <w:szCs w:val="24"/>
        </w:rPr>
        <w:t>apporto s</w:t>
      </w:r>
      <w:r w:rsidR="00FA00FB" w:rsidRPr="00E32176">
        <w:rPr>
          <w:rFonts w:cstheme="minorHAnsi"/>
          <w:sz w:val="24"/>
          <w:szCs w:val="24"/>
        </w:rPr>
        <w:t xml:space="preserve">i compone di due parti, una prima di natura congiunturale che </w:t>
      </w:r>
      <w:r w:rsidR="000A73C9" w:rsidRPr="00E32176">
        <w:rPr>
          <w:rFonts w:cstheme="minorHAnsi"/>
          <w:sz w:val="24"/>
          <w:szCs w:val="24"/>
        </w:rPr>
        <w:t>propone una lettura critica dei principali avvenimenti che hanno riguardato la</w:t>
      </w:r>
      <w:r w:rsidR="00FA00FB" w:rsidRPr="00E32176">
        <w:rPr>
          <w:rFonts w:cstheme="minorHAnsi"/>
          <w:sz w:val="24"/>
          <w:szCs w:val="24"/>
        </w:rPr>
        <w:t xml:space="preserve"> finanza decentrata nell’anno; una seconda che affronta ogni anno un diverso tema</w:t>
      </w:r>
      <w:r w:rsidR="004559D3" w:rsidRPr="00E32176">
        <w:rPr>
          <w:rFonts w:cstheme="minorHAnsi"/>
          <w:sz w:val="24"/>
          <w:szCs w:val="24"/>
        </w:rPr>
        <w:t>, individuato tra quelli</w:t>
      </w:r>
      <w:r w:rsidR="00FA00FB" w:rsidRPr="00E32176">
        <w:rPr>
          <w:rFonts w:cstheme="minorHAnsi"/>
          <w:sz w:val="24"/>
          <w:szCs w:val="24"/>
        </w:rPr>
        <w:t xml:space="preserve"> </w:t>
      </w:r>
      <w:r w:rsidR="004559D3" w:rsidRPr="00E32176">
        <w:rPr>
          <w:rFonts w:cstheme="minorHAnsi"/>
          <w:sz w:val="24"/>
          <w:szCs w:val="24"/>
        </w:rPr>
        <w:t>di</w:t>
      </w:r>
      <w:r w:rsidR="00FA00FB" w:rsidRPr="00E32176">
        <w:rPr>
          <w:rFonts w:cstheme="minorHAnsi"/>
          <w:sz w:val="24"/>
          <w:szCs w:val="24"/>
        </w:rPr>
        <w:t xml:space="preserve"> più recente</w:t>
      </w:r>
      <w:r w:rsidR="004559D3" w:rsidRPr="00E32176">
        <w:rPr>
          <w:rFonts w:cstheme="minorHAnsi"/>
          <w:sz w:val="24"/>
          <w:szCs w:val="24"/>
        </w:rPr>
        <w:t xml:space="preserve"> attualità</w:t>
      </w:r>
      <w:r w:rsidR="00FA00FB" w:rsidRPr="00E32176">
        <w:rPr>
          <w:rFonts w:cstheme="minorHAnsi"/>
          <w:sz w:val="24"/>
          <w:szCs w:val="24"/>
        </w:rPr>
        <w:t xml:space="preserve">.  </w:t>
      </w:r>
      <w:r w:rsidR="004559D3" w:rsidRPr="00E32176">
        <w:rPr>
          <w:rFonts w:cstheme="minorHAnsi"/>
          <w:sz w:val="24"/>
          <w:szCs w:val="24"/>
        </w:rPr>
        <w:t>Quest’anno l</w:t>
      </w:r>
      <w:r w:rsidR="00FA00FB" w:rsidRPr="00E32176">
        <w:rPr>
          <w:rFonts w:cstheme="minorHAnsi"/>
          <w:sz w:val="24"/>
          <w:szCs w:val="24"/>
        </w:rPr>
        <w:t>a seconda parte</w:t>
      </w:r>
      <w:r w:rsidR="00C63741" w:rsidRPr="00E32176">
        <w:rPr>
          <w:rFonts w:cstheme="minorHAnsi"/>
          <w:sz w:val="24"/>
          <w:szCs w:val="24"/>
        </w:rPr>
        <w:t xml:space="preserve"> d</w:t>
      </w:r>
      <w:r w:rsidR="004559D3" w:rsidRPr="00E32176">
        <w:rPr>
          <w:rFonts w:cstheme="minorHAnsi"/>
          <w:sz w:val="24"/>
          <w:szCs w:val="24"/>
        </w:rPr>
        <w:t>el</w:t>
      </w:r>
      <w:r w:rsidR="00C63741" w:rsidRPr="00E32176">
        <w:rPr>
          <w:rFonts w:cstheme="minorHAnsi"/>
          <w:sz w:val="24"/>
          <w:szCs w:val="24"/>
        </w:rPr>
        <w:t xml:space="preserve"> Rapporto</w:t>
      </w:r>
      <w:r w:rsidR="00FA00FB" w:rsidRPr="00E32176">
        <w:rPr>
          <w:rFonts w:cstheme="minorHAnsi"/>
          <w:sz w:val="24"/>
          <w:szCs w:val="24"/>
        </w:rPr>
        <w:t xml:space="preserve"> </w:t>
      </w:r>
      <w:r w:rsidR="00C63741" w:rsidRPr="00E32176">
        <w:rPr>
          <w:rFonts w:cstheme="minorHAnsi"/>
          <w:sz w:val="24"/>
          <w:szCs w:val="24"/>
        </w:rPr>
        <w:t>è dedicata agli</w:t>
      </w:r>
      <w:r w:rsidR="00FA00FB" w:rsidRPr="00E32176">
        <w:rPr>
          <w:rFonts w:cstheme="minorHAnsi"/>
          <w:sz w:val="24"/>
          <w:szCs w:val="24"/>
        </w:rPr>
        <w:t xml:space="preserve"> strumenti di analisi e </w:t>
      </w:r>
      <w:r w:rsidR="00C63741" w:rsidRPr="00E32176">
        <w:rPr>
          <w:rFonts w:cstheme="minorHAnsi"/>
          <w:sz w:val="24"/>
          <w:szCs w:val="24"/>
        </w:rPr>
        <w:t xml:space="preserve">ai </w:t>
      </w:r>
      <w:r w:rsidR="00FA00FB" w:rsidRPr="00E32176">
        <w:rPr>
          <w:rFonts w:cstheme="minorHAnsi"/>
          <w:sz w:val="24"/>
          <w:szCs w:val="24"/>
        </w:rPr>
        <w:t xml:space="preserve">sistemi informativi </w:t>
      </w:r>
      <w:r w:rsidR="00C63741" w:rsidRPr="00E32176">
        <w:rPr>
          <w:rFonts w:cstheme="minorHAnsi"/>
          <w:sz w:val="24"/>
          <w:szCs w:val="24"/>
        </w:rPr>
        <w:t xml:space="preserve">a scala </w:t>
      </w:r>
      <w:r w:rsidR="00606D7C" w:rsidRPr="00E32176">
        <w:rPr>
          <w:rFonts w:cstheme="minorHAnsi"/>
          <w:sz w:val="24"/>
          <w:szCs w:val="24"/>
        </w:rPr>
        <w:t>subnazionale</w:t>
      </w:r>
      <w:r w:rsidR="00C63741" w:rsidRPr="00E32176">
        <w:rPr>
          <w:rFonts w:cstheme="minorHAnsi"/>
          <w:sz w:val="24"/>
          <w:szCs w:val="24"/>
        </w:rPr>
        <w:t>,</w:t>
      </w:r>
      <w:r w:rsidR="00FA00FB" w:rsidRPr="00E32176">
        <w:rPr>
          <w:rFonts w:cstheme="minorHAnsi"/>
          <w:sz w:val="24"/>
          <w:szCs w:val="24"/>
        </w:rPr>
        <w:t xml:space="preserve"> necessari per rafforzare le capacità decisionali </w:t>
      </w:r>
      <w:r w:rsidR="00606D7C" w:rsidRPr="00E32176">
        <w:rPr>
          <w:rFonts w:cstheme="minorHAnsi"/>
          <w:sz w:val="24"/>
          <w:szCs w:val="24"/>
        </w:rPr>
        <w:t>de</w:t>
      </w:r>
      <w:r w:rsidR="004559D3" w:rsidRPr="00E32176">
        <w:rPr>
          <w:rFonts w:cstheme="minorHAnsi"/>
          <w:sz w:val="24"/>
          <w:szCs w:val="24"/>
        </w:rPr>
        <w:t>g</w:t>
      </w:r>
      <w:r w:rsidR="00606D7C" w:rsidRPr="00E32176">
        <w:rPr>
          <w:rFonts w:cstheme="minorHAnsi"/>
          <w:sz w:val="24"/>
          <w:szCs w:val="24"/>
        </w:rPr>
        <w:t>l</w:t>
      </w:r>
      <w:r w:rsidR="004559D3" w:rsidRPr="00E32176">
        <w:rPr>
          <w:rFonts w:cstheme="minorHAnsi"/>
          <w:sz w:val="24"/>
          <w:szCs w:val="24"/>
        </w:rPr>
        <w:t>i</w:t>
      </w:r>
      <w:r w:rsidR="00606D7C" w:rsidRPr="00E32176">
        <w:rPr>
          <w:rFonts w:cstheme="minorHAnsi"/>
          <w:sz w:val="24"/>
          <w:szCs w:val="24"/>
        </w:rPr>
        <w:t xml:space="preserve"> </w:t>
      </w:r>
      <w:r w:rsidR="004559D3" w:rsidRPr="00E32176">
        <w:rPr>
          <w:rFonts w:cstheme="minorHAnsi"/>
          <w:sz w:val="24"/>
          <w:szCs w:val="24"/>
        </w:rPr>
        <w:t xml:space="preserve">Enti </w:t>
      </w:r>
      <w:r w:rsidR="00606D7C" w:rsidRPr="00E32176">
        <w:rPr>
          <w:rFonts w:cstheme="minorHAnsi"/>
          <w:sz w:val="24"/>
          <w:szCs w:val="24"/>
        </w:rPr>
        <w:t>territori</w:t>
      </w:r>
      <w:r w:rsidR="004559D3" w:rsidRPr="00E32176">
        <w:rPr>
          <w:rFonts w:cstheme="minorHAnsi"/>
          <w:sz w:val="24"/>
          <w:szCs w:val="24"/>
        </w:rPr>
        <w:t>ali</w:t>
      </w:r>
      <w:r w:rsidR="00FA00FB" w:rsidRPr="00E32176">
        <w:rPr>
          <w:rFonts w:cstheme="minorHAnsi"/>
          <w:sz w:val="24"/>
          <w:szCs w:val="24"/>
        </w:rPr>
        <w:t xml:space="preserve">. </w:t>
      </w:r>
    </w:p>
    <w:p w:rsidR="00EA4AE1" w:rsidRPr="00E32176" w:rsidRDefault="00F0316D" w:rsidP="00E32176">
      <w:pPr>
        <w:spacing w:after="0" w:line="360" w:lineRule="auto"/>
        <w:jc w:val="both"/>
        <w:rPr>
          <w:rFonts w:cstheme="minorHAnsi"/>
          <w:sz w:val="24"/>
          <w:szCs w:val="24"/>
        </w:rPr>
      </w:pPr>
      <w:r w:rsidRPr="00E32176">
        <w:rPr>
          <w:rFonts w:cstheme="minorHAnsi"/>
          <w:sz w:val="24"/>
          <w:szCs w:val="24"/>
        </w:rPr>
        <w:t xml:space="preserve">Negli ultimi anni, molte e significative riforme hanno mutato il quadro della finanza pubblica in Italia. Oggi le Amministrazioni territoriali avvertono l’urgenza non solo di un concreto rilancio degli investimenti, ma anche di un complessivo riordino del quadro tributario e dell’implementazione di un efficace sistema perequativo, </w:t>
      </w:r>
      <w:r w:rsidR="00840550" w:rsidRPr="00E32176">
        <w:rPr>
          <w:rFonts w:cstheme="minorHAnsi"/>
          <w:sz w:val="24"/>
          <w:szCs w:val="24"/>
        </w:rPr>
        <w:t xml:space="preserve">specialmente </w:t>
      </w:r>
      <w:r w:rsidRPr="00E32176">
        <w:rPr>
          <w:rFonts w:cstheme="minorHAnsi"/>
          <w:sz w:val="24"/>
          <w:szCs w:val="24"/>
        </w:rPr>
        <w:t xml:space="preserve">in vista della concreta attuazione dell’autonomia differenziata, prevista dall’articolo 116, comma terzo, della Costituzione. In questo contesto, il Rapporto analizza la dinamica della finanza territoriale in Italia nel 2019. </w:t>
      </w:r>
    </w:p>
    <w:p w:rsidR="001C115C" w:rsidRPr="00E32176" w:rsidRDefault="00481865" w:rsidP="00E32176">
      <w:pPr>
        <w:pStyle w:val="Paragrafoelenco"/>
        <w:numPr>
          <w:ilvl w:val="0"/>
          <w:numId w:val="2"/>
        </w:numPr>
        <w:spacing w:after="0" w:line="360" w:lineRule="auto"/>
        <w:jc w:val="both"/>
        <w:rPr>
          <w:rFonts w:cstheme="minorHAnsi"/>
          <w:sz w:val="24"/>
          <w:szCs w:val="24"/>
        </w:rPr>
      </w:pPr>
      <w:r w:rsidRPr="00E32176">
        <w:rPr>
          <w:rFonts w:cstheme="minorHAnsi"/>
          <w:sz w:val="24"/>
          <w:szCs w:val="24"/>
        </w:rPr>
        <w:t>PIU’</w:t>
      </w:r>
      <w:r w:rsidR="00731546" w:rsidRPr="00E32176">
        <w:rPr>
          <w:rFonts w:cstheme="minorHAnsi"/>
          <w:sz w:val="24"/>
          <w:szCs w:val="24"/>
        </w:rPr>
        <w:t xml:space="preserve"> </w:t>
      </w:r>
      <w:r w:rsidRPr="00E32176">
        <w:rPr>
          <w:rFonts w:cstheme="minorHAnsi"/>
          <w:sz w:val="24"/>
          <w:szCs w:val="24"/>
        </w:rPr>
        <w:t>INVESTIMENTI PER LA RIPRESA DEL CICLO ECONOMICO</w:t>
      </w:r>
      <w:r w:rsidR="00ED4601" w:rsidRPr="00E32176">
        <w:rPr>
          <w:rFonts w:cstheme="minorHAnsi"/>
          <w:sz w:val="24"/>
          <w:szCs w:val="24"/>
        </w:rPr>
        <w:t xml:space="preserve"> (CAP 1. Curato da Irpet)</w:t>
      </w:r>
      <w:r w:rsidRPr="00E32176">
        <w:rPr>
          <w:rFonts w:cstheme="minorHAnsi"/>
          <w:sz w:val="24"/>
          <w:szCs w:val="24"/>
        </w:rPr>
        <w:t xml:space="preserve">: </w:t>
      </w:r>
      <w:r w:rsidR="00F10563" w:rsidRPr="00E32176">
        <w:rPr>
          <w:rFonts w:cstheme="minorHAnsi"/>
          <w:sz w:val="24"/>
          <w:szCs w:val="24"/>
        </w:rPr>
        <w:t xml:space="preserve">L’andamento degli investimenti pubblici è da alcuni anni al centro delle politiche europee e nazionali, per la capacità di attivazione economica e </w:t>
      </w:r>
      <w:r w:rsidR="00B42FD5" w:rsidRPr="00E32176">
        <w:rPr>
          <w:rFonts w:cstheme="minorHAnsi"/>
          <w:sz w:val="24"/>
          <w:szCs w:val="24"/>
        </w:rPr>
        <w:t xml:space="preserve">per </w:t>
      </w:r>
      <w:r w:rsidR="00F10563" w:rsidRPr="00E32176">
        <w:rPr>
          <w:rFonts w:cstheme="minorHAnsi"/>
          <w:sz w:val="24"/>
          <w:szCs w:val="24"/>
        </w:rPr>
        <w:t xml:space="preserve">le </w:t>
      </w:r>
      <w:r w:rsidR="00B42FD5" w:rsidRPr="00E32176">
        <w:rPr>
          <w:rFonts w:cstheme="minorHAnsi"/>
          <w:sz w:val="24"/>
          <w:szCs w:val="24"/>
        </w:rPr>
        <w:t xml:space="preserve">virtuose </w:t>
      </w:r>
      <w:r w:rsidR="00F10563" w:rsidRPr="00E32176">
        <w:rPr>
          <w:rFonts w:cstheme="minorHAnsi"/>
          <w:sz w:val="24"/>
          <w:szCs w:val="24"/>
        </w:rPr>
        <w:t>relazioni</w:t>
      </w:r>
      <w:r w:rsidR="00B42FD5" w:rsidRPr="00E32176">
        <w:rPr>
          <w:rFonts w:cstheme="minorHAnsi"/>
          <w:sz w:val="24"/>
          <w:szCs w:val="24"/>
        </w:rPr>
        <w:t xml:space="preserve"> tra questi</w:t>
      </w:r>
      <w:r w:rsidR="00F10563" w:rsidRPr="00E32176">
        <w:rPr>
          <w:rFonts w:cstheme="minorHAnsi"/>
          <w:sz w:val="24"/>
          <w:szCs w:val="24"/>
        </w:rPr>
        <w:t xml:space="preserve"> </w:t>
      </w:r>
      <w:r w:rsidR="00B42FD5" w:rsidRPr="00E32176">
        <w:rPr>
          <w:rFonts w:cstheme="minorHAnsi"/>
          <w:sz w:val="24"/>
          <w:szCs w:val="24"/>
        </w:rPr>
        <w:t>e</w:t>
      </w:r>
      <w:r w:rsidR="00F10563" w:rsidRPr="00E32176">
        <w:rPr>
          <w:rFonts w:cstheme="minorHAnsi"/>
          <w:sz w:val="24"/>
          <w:szCs w:val="24"/>
        </w:rPr>
        <w:t xml:space="preserve"> la crescita di medio e lungo periodo</w:t>
      </w:r>
      <w:r w:rsidR="004308F2" w:rsidRPr="00E32176">
        <w:rPr>
          <w:rFonts w:cstheme="minorHAnsi"/>
          <w:sz w:val="24"/>
          <w:szCs w:val="24"/>
        </w:rPr>
        <w:t xml:space="preserve">. </w:t>
      </w:r>
      <w:r w:rsidR="00F10563" w:rsidRPr="00E32176">
        <w:rPr>
          <w:rFonts w:cstheme="minorHAnsi"/>
          <w:sz w:val="24"/>
          <w:szCs w:val="24"/>
        </w:rPr>
        <w:t xml:space="preserve">Dopo anni di patto </w:t>
      </w:r>
      <w:r w:rsidR="00B42FD5" w:rsidRPr="00E32176">
        <w:rPr>
          <w:rFonts w:cstheme="minorHAnsi"/>
          <w:sz w:val="24"/>
          <w:szCs w:val="24"/>
        </w:rPr>
        <w:t>d</w:t>
      </w:r>
      <w:r w:rsidR="00F10563" w:rsidRPr="00E32176">
        <w:rPr>
          <w:rFonts w:cstheme="minorHAnsi"/>
          <w:sz w:val="24"/>
          <w:szCs w:val="24"/>
        </w:rPr>
        <w:t xml:space="preserve">i stabilità interno che hanno portato ad una riduzione progressiva degli interventi sul patrimonio pubblico, </w:t>
      </w:r>
      <w:r w:rsidR="004308F2" w:rsidRPr="00E32176">
        <w:rPr>
          <w:rFonts w:cstheme="minorHAnsi"/>
          <w:b/>
          <w:sz w:val="24"/>
          <w:szCs w:val="24"/>
        </w:rPr>
        <w:t>i</w:t>
      </w:r>
      <w:r w:rsidR="00F10563" w:rsidRPr="00E32176">
        <w:rPr>
          <w:rFonts w:cstheme="minorHAnsi"/>
          <w:b/>
          <w:sz w:val="24"/>
          <w:szCs w:val="24"/>
        </w:rPr>
        <w:t xml:space="preserve">l </w:t>
      </w:r>
      <w:r w:rsidR="00A31839" w:rsidRPr="00E32176">
        <w:rPr>
          <w:rFonts w:cstheme="minorHAnsi"/>
          <w:b/>
          <w:sz w:val="24"/>
          <w:szCs w:val="24"/>
        </w:rPr>
        <w:t>2018 e il</w:t>
      </w:r>
      <w:r w:rsidR="00A31839" w:rsidRPr="00E32176">
        <w:rPr>
          <w:rFonts w:cstheme="minorHAnsi"/>
          <w:sz w:val="24"/>
          <w:szCs w:val="24"/>
        </w:rPr>
        <w:t xml:space="preserve"> </w:t>
      </w:r>
      <w:r w:rsidR="00F10563" w:rsidRPr="00E32176">
        <w:rPr>
          <w:rFonts w:cstheme="minorHAnsi"/>
          <w:b/>
          <w:sz w:val="24"/>
          <w:szCs w:val="24"/>
        </w:rPr>
        <w:t>2019 sembra</w:t>
      </w:r>
      <w:r w:rsidR="00A31839" w:rsidRPr="00E32176">
        <w:rPr>
          <w:rFonts w:cstheme="minorHAnsi"/>
          <w:b/>
          <w:sz w:val="24"/>
          <w:szCs w:val="24"/>
        </w:rPr>
        <w:t>no</w:t>
      </w:r>
      <w:r w:rsidR="00F10563" w:rsidRPr="00E32176">
        <w:rPr>
          <w:rFonts w:cstheme="minorHAnsi"/>
          <w:b/>
          <w:sz w:val="24"/>
          <w:szCs w:val="24"/>
        </w:rPr>
        <w:t xml:space="preserve"> però segnare un </w:t>
      </w:r>
      <w:r w:rsidR="00A31839" w:rsidRPr="00E32176">
        <w:rPr>
          <w:rFonts w:cstheme="minorHAnsi"/>
          <w:b/>
          <w:sz w:val="24"/>
          <w:szCs w:val="24"/>
        </w:rPr>
        <w:t>punto</w:t>
      </w:r>
      <w:r w:rsidR="00F10563" w:rsidRPr="00E32176">
        <w:rPr>
          <w:rFonts w:cstheme="minorHAnsi"/>
          <w:b/>
          <w:sz w:val="24"/>
          <w:szCs w:val="24"/>
        </w:rPr>
        <w:t xml:space="preserve"> di svolta</w:t>
      </w:r>
      <w:r w:rsidR="004308F2" w:rsidRPr="00E32176">
        <w:rPr>
          <w:rFonts w:cstheme="minorHAnsi"/>
          <w:sz w:val="24"/>
          <w:szCs w:val="24"/>
        </w:rPr>
        <w:t xml:space="preserve">.  </w:t>
      </w:r>
      <w:r w:rsidR="007D7786" w:rsidRPr="00E32176">
        <w:rPr>
          <w:rFonts w:cstheme="minorHAnsi"/>
          <w:sz w:val="24"/>
          <w:szCs w:val="24"/>
        </w:rPr>
        <w:t xml:space="preserve">Gli </w:t>
      </w:r>
      <w:r w:rsidR="00B42FD5" w:rsidRPr="00E32176">
        <w:rPr>
          <w:rFonts w:cstheme="minorHAnsi"/>
          <w:sz w:val="24"/>
          <w:szCs w:val="24"/>
        </w:rPr>
        <w:t>E</w:t>
      </w:r>
      <w:r w:rsidR="007D7786" w:rsidRPr="00E32176">
        <w:rPr>
          <w:rFonts w:cstheme="minorHAnsi"/>
          <w:sz w:val="24"/>
          <w:szCs w:val="24"/>
        </w:rPr>
        <w:t xml:space="preserve">nti </w:t>
      </w:r>
      <w:r w:rsidR="00B42FD5" w:rsidRPr="00E32176">
        <w:rPr>
          <w:rFonts w:cstheme="minorHAnsi"/>
          <w:sz w:val="24"/>
          <w:szCs w:val="24"/>
        </w:rPr>
        <w:t>territoria</w:t>
      </w:r>
      <w:r w:rsidR="007D7786" w:rsidRPr="00E32176">
        <w:rPr>
          <w:rFonts w:cstheme="minorHAnsi"/>
          <w:sz w:val="24"/>
          <w:szCs w:val="24"/>
        </w:rPr>
        <w:t>li (</w:t>
      </w:r>
      <w:r w:rsidR="00B42FD5" w:rsidRPr="00E32176">
        <w:rPr>
          <w:rFonts w:cstheme="minorHAnsi"/>
          <w:sz w:val="24"/>
          <w:szCs w:val="24"/>
        </w:rPr>
        <w:t>R</w:t>
      </w:r>
      <w:r w:rsidR="007D7786" w:rsidRPr="00E32176">
        <w:rPr>
          <w:rFonts w:cstheme="minorHAnsi"/>
          <w:sz w:val="24"/>
          <w:szCs w:val="24"/>
        </w:rPr>
        <w:t>egioni</w:t>
      </w:r>
      <w:r w:rsidR="00B42FD5" w:rsidRPr="00E32176">
        <w:rPr>
          <w:rFonts w:cstheme="minorHAnsi"/>
          <w:sz w:val="24"/>
          <w:szCs w:val="24"/>
        </w:rPr>
        <w:t>,</w:t>
      </w:r>
      <w:r w:rsidR="007D7786" w:rsidRPr="00E32176">
        <w:rPr>
          <w:rFonts w:cstheme="minorHAnsi"/>
          <w:sz w:val="24"/>
          <w:szCs w:val="24"/>
        </w:rPr>
        <w:t xml:space="preserve"> </w:t>
      </w:r>
      <w:r w:rsidR="00B42FD5" w:rsidRPr="00E32176">
        <w:rPr>
          <w:rFonts w:cstheme="minorHAnsi"/>
          <w:sz w:val="24"/>
          <w:szCs w:val="24"/>
        </w:rPr>
        <w:t>C</w:t>
      </w:r>
      <w:r w:rsidR="007D7786" w:rsidRPr="00E32176">
        <w:rPr>
          <w:rFonts w:cstheme="minorHAnsi"/>
          <w:sz w:val="24"/>
          <w:szCs w:val="24"/>
        </w:rPr>
        <w:t xml:space="preserve">omuni e </w:t>
      </w:r>
      <w:r w:rsidR="00B42FD5" w:rsidRPr="00E32176">
        <w:rPr>
          <w:rFonts w:cstheme="minorHAnsi"/>
          <w:sz w:val="24"/>
          <w:szCs w:val="24"/>
        </w:rPr>
        <w:t>P</w:t>
      </w:r>
      <w:r w:rsidR="007D7786" w:rsidRPr="00E32176">
        <w:rPr>
          <w:rFonts w:cstheme="minorHAnsi"/>
          <w:sz w:val="24"/>
          <w:szCs w:val="24"/>
        </w:rPr>
        <w:t xml:space="preserve">rovince) hanno un ruolo importante nella manutenzione e incremento delle infrastrutture, contribuendo con il </w:t>
      </w:r>
      <w:r w:rsidR="007D7786" w:rsidRPr="00E32176">
        <w:rPr>
          <w:rFonts w:cstheme="minorHAnsi"/>
          <w:color w:val="FF0000"/>
          <w:sz w:val="24"/>
          <w:szCs w:val="24"/>
        </w:rPr>
        <w:t>X</w:t>
      </w:r>
      <w:r w:rsidR="007D7786" w:rsidRPr="00E32176">
        <w:rPr>
          <w:rFonts w:cstheme="minorHAnsi"/>
          <w:sz w:val="24"/>
          <w:szCs w:val="24"/>
        </w:rPr>
        <w:t xml:space="preserve"> alle spesa pubblica del settore. Dopo anni di Patto o stabilità, n</w:t>
      </w:r>
      <w:r w:rsidR="00A31839" w:rsidRPr="00E32176">
        <w:rPr>
          <w:rFonts w:cstheme="minorHAnsi"/>
          <w:sz w:val="24"/>
          <w:szCs w:val="24"/>
        </w:rPr>
        <w:t xml:space="preserve">el 2018 l’andamento negativo </w:t>
      </w:r>
      <w:r w:rsidR="00B419C4" w:rsidRPr="00E32176">
        <w:rPr>
          <w:rFonts w:cstheme="minorHAnsi"/>
          <w:sz w:val="24"/>
          <w:szCs w:val="24"/>
        </w:rPr>
        <w:t xml:space="preserve">della spesa in c/capitale dei </w:t>
      </w:r>
      <w:r w:rsidR="00B42FD5" w:rsidRPr="00E32176">
        <w:rPr>
          <w:rFonts w:cstheme="minorHAnsi"/>
          <w:sz w:val="24"/>
          <w:szCs w:val="24"/>
        </w:rPr>
        <w:t>C</w:t>
      </w:r>
      <w:r w:rsidR="00B419C4" w:rsidRPr="00E32176">
        <w:rPr>
          <w:rFonts w:cstheme="minorHAnsi"/>
          <w:sz w:val="24"/>
          <w:szCs w:val="24"/>
        </w:rPr>
        <w:t xml:space="preserve">omuni </w:t>
      </w:r>
      <w:r w:rsidR="00A31839" w:rsidRPr="00E32176">
        <w:rPr>
          <w:rFonts w:cstheme="minorHAnsi"/>
          <w:b/>
          <w:sz w:val="24"/>
          <w:szCs w:val="24"/>
        </w:rPr>
        <w:t>s</w:t>
      </w:r>
      <w:r w:rsidR="00B651C9" w:rsidRPr="00E32176">
        <w:rPr>
          <w:rFonts w:cstheme="minorHAnsi"/>
          <w:b/>
          <w:sz w:val="24"/>
          <w:szCs w:val="24"/>
        </w:rPr>
        <w:t xml:space="preserve">embra </w:t>
      </w:r>
      <w:r w:rsidR="00B651C9" w:rsidRPr="00E32176">
        <w:rPr>
          <w:rFonts w:cstheme="minorHAnsi"/>
          <w:b/>
          <w:sz w:val="24"/>
          <w:szCs w:val="24"/>
        </w:rPr>
        <w:lastRenderedPageBreak/>
        <w:t>essersi</w:t>
      </w:r>
      <w:r w:rsidR="00A53FDA" w:rsidRPr="00E32176">
        <w:rPr>
          <w:rFonts w:cstheme="minorHAnsi"/>
          <w:b/>
          <w:sz w:val="24"/>
          <w:szCs w:val="24"/>
        </w:rPr>
        <w:t xml:space="preserve"> </w:t>
      </w:r>
      <w:r w:rsidR="00A31839" w:rsidRPr="00E32176">
        <w:rPr>
          <w:rFonts w:cstheme="minorHAnsi"/>
          <w:b/>
          <w:sz w:val="24"/>
          <w:szCs w:val="24"/>
        </w:rPr>
        <w:t>interrotto</w:t>
      </w:r>
      <w:r w:rsidR="00A31839" w:rsidRPr="00E32176">
        <w:rPr>
          <w:rFonts w:cstheme="minorHAnsi"/>
          <w:sz w:val="24"/>
          <w:szCs w:val="24"/>
        </w:rPr>
        <w:t xml:space="preserve"> e </w:t>
      </w:r>
      <w:r w:rsidR="00F10563" w:rsidRPr="00E32176">
        <w:rPr>
          <w:rFonts w:cstheme="minorHAnsi"/>
          <w:sz w:val="24"/>
          <w:szCs w:val="24"/>
        </w:rPr>
        <w:t>i primi nove mesi</w:t>
      </w:r>
      <w:r w:rsidR="00A31839" w:rsidRPr="00E32176">
        <w:rPr>
          <w:rFonts w:cstheme="minorHAnsi"/>
          <w:sz w:val="24"/>
          <w:szCs w:val="24"/>
        </w:rPr>
        <w:t xml:space="preserve"> del 2019</w:t>
      </w:r>
      <w:r w:rsidR="00F10563" w:rsidRPr="00E32176">
        <w:rPr>
          <w:rFonts w:cstheme="minorHAnsi"/>
          <w:sz w:val="24"/>
          <w:szCs w:val="24"/>
        </w:rPr>
        <w:t xml:space="preserve"> registrano una ripresa del </w:t>
      </w:r>
      <w:r w:rsidR="00F10563" w:rsidRPr="00E32176">
        <w:rPr>
          <w:rFonts w:cstheme="minorHAnsi"/>
          <w:b/>
          <w:sz w:val="24"/>
          <w:szCs w:val="24"/>
        </w:rPr>
        <w:t>16%</w:t>
      </w:r>
      <w:r w:rsidR="00BA05C8" w:rsidRPr="00E32176">
        <w:rPr>
          <w:rFonts w:cstheme="minorHAnsi"/>
          <w:b/>
          <w:sz w:val="24"/>
          <w:szCs w:val="24"/>
        </w:rPr>
        <w:t xml:space="preserve">. </w:t>
      </w:r>
      <w:r w:rsidR="00F10563" w:rsidRPr="00E32176">
        <w:rPr>
          <w:rFonts w:cstheme="minorHAnsi"/>
          <w:sz w:val="24"/>
          <w:szCs w:val="24"/>
        </w:rPr>
        <w:t>Il dato</w:t>
      </w:r>
      <w:r w:rsidR="00B92735" w:rsidRPr="00E32176">
        <w:rPr>
          <w:rFonts w:cstheme="minorHAnsi"/>
          <w:sz w:val="24"/>
          <w:szCs w:val="24"/>
        </w:rPr>
        <w:t xml:space="preserve"> sulla ripresa</w:t>
      </w:r>
      <w:r w:rsidR="00F10563" w:rsidRPr="00E32176">
        <w:rPr>
          <w:rFonts w:cstheme="minorHAnsi"/>
          <w:sz w:val="24"/>
          <w:szCs w:val="24"/>
        </w:rPr>
        <w:t xml:space="preserve"> è ancora provvisorio, riguardando i primi 9 mesi </w:t>
      </w:r>
      <w:r w:rsidR="002D2BE7" w:rsidRPr="00E32176">
        <w:rPr>
          <w:rFonts w:cstheme="minorHAnsi"/>
          <w:sz w:val="24"/>
          <w:szCs w:val="24"/>
        </w:rPr>
        <w:t>del 2019</w:t>
      </w:r>
      <w:r w:rsidR="00F10563" w:rsidRPr="00E32176">
        <w:rPr>
          <w:rFonts w:cstheme="minorHAnsi"/>
          <w:sz w:val="24"/>
          <w:szCs w:val="24"/>
        </w:rPr>
        <w:t>, ma senza dubbio copre già larga parte de</w:t>
      </w:r>
      <w:r w:rsidR="00A31839" w:rsidRPr="00E32176">
        <w:rPr>
          <w:rFonts w:cstheme="minorHAnsi"/>
          <w:sz w:val="24"/>
          <w:szCs w:val="24"/>
        </w:rPr>
        <w:t>l</w:t>
      </w:r>
      <w:r w:rsidR="00F10563" w:rsidRPr="00E32176">
        <w:rPr>
          <w:rFonts w:cstheme="minorHAnsi"/>
          <w:sz w:val="24"/>
          <w:szCs w:val="24"/>
        </w:rPr>
        <w:t>l’anno.</w:t>
      </w:r>
      <w:r w:rsidR="00F31581" w:rsidRPr="00E32176">
        <w:rPr>
          <w:rFonts w:cstheme="minorHAnsi"/>
          <w:sz w:val="24"/>
          <w:szCs w:val="24"/>
        </w:rPr>
        <w:t xml:space="preserve"> In alcune regioni la spesa per investimenti da parte degli </w:t>
      </w:r>
      <w:r w:rsidR="00B42FD5" w:rsidRPr="00E32176">
        <w:rPr>
          <w:rFonts w:cstheme="minorHAnsi"/>
          <w:sz w:val="24"/>
          <w:szCs w:val="24"/>
        </w:rPr>
        <w:t>E</w:t>
      </w:r>
      <w:r w:rsidR="00F31581" w:rsidRPr="00E32176">
        <w:rPr>
          <w:rFonts w:cstheme="minorHAnsi"/>
          <w:sz w:val="24"/>
          <w:szCs w:val="24"/>
        </w:rPr>
        <w:t>nti locali supera il 25% (tra queste Emilia, Piemonte,</w:t>
      </w:r>
      <w:r w:rsidR="00B42FD5" w:rsidRPr="00E32176">
        <w:rPr>
          <w:rFonts w:cstheme="minorHAnsi"/>
          <w:sz w:val="24"/>
          <w:szCs w:val="24"/>
        </w:rPr>
        <w:t xml:space="preserve"> </w:t>
      </w:r>
      <w:r w:rsidR="00F31581" w:rsidRPr="00E32176">
        <w:rPr>
          <w:rFonts w:cstheme="minorHAnsi"/>
          <w:sz w:val="24"/>
          <w:szCs w:val="24"/>
        </w:rPr>
        <w:t xml:space="preserve">Lazio, Lombardia, Liguria..). </w:t>
      </w:r>
      <w:r w:rsidR="00F10563" w:rsidRPr="00E32176">
        <w:rPr>
          <w:rFonts w:cstheme="minorHAnsi"/>
          <w:sz w:val="24"/>
          <w:szCs w:val="24"/>
        </w:rPr>
        <w:t xml:space="preserve"> </w:t>
      </w:r>
      <w:r w:rsidR="00A01F0E" w:rsidRPr="00E32176">
        <w:rPr>
          <w:rFonts w:cstheme="minorHAnsi"/>
          <w:sz w:val="24"/>
          <w:szCs w:val="24"/>
        </w:rPr>
        <w:t xml:space="preserve">L’andamento positivo </w:t>
      </w:r>
      <w:r w:rsidR="00410EDA" w:rsidRPr="00E32176">
        <w:rPr>
          <w:rFonts w:cstheme="minorHAnsi"/>
          <w:sz w:val="24"/>
          <w:szCs w:val="24"/>
        </w:rPr>
        <w:t xml:space="preserve">della spesa in c/capitale è trainata </w:t>
      </w:r>
      <w:r w:rsidR="00410EDA" w:rsidRPr="00E32176">
        <w:rPr>
          <w:rFonts w:cstheme="minorHAnsi"/>
          <w:b/>
          <w:sz w:val="24"/>
          <w:szCs w:val="24"/>
        </w:rPr>
        <w:t>dall’avvio di nuovi lavori</w:t>
      </w:r>
      <w:r w:rsidR="00410EDA" w:rsidRPr="00E32176">
        <w:rPr>
          <w:rFonts w:cstheme="minorHAnsi"/>
          <w:sz w:val="24"/>
          <w:szCs w:val="24"/>
        </w:rPr>
        <w:t xml:space="preserve"> da parte delle stazioni appaltanti del </w:t>
      </w:r>
      <w:r w:rsidR="00B42FD5" w:rsidRPr="00E32176">
        <w:rPr>
          <w:rFonts w:cstheme="minorHAnsi"/>
          <w:sz w:val="24"/>
          <w:szCs w:val="24"/>
        </w:rPr>
        <w:t>P</w:t>
      </w:r>
      <w:r w:rsidR="00410EDA" w:rsidRPr="00E32176">
        <w:rPr>
          <w:rFonts w:cstheme="minorHAnsi"/>
          <w:sz w:val="24"/>
          <w:szCs w:val="24"/>
        </w:rPr>
        <w:t xml:space="preserve">aese, che ha caratterizzato già il </w:t>
      </w:r>
      <w:r w:rsidR="00410EDA" w:rsidRPr="00E32176">
        <w:rPr>
          <w:rFonts w:cstheme="minorHAnsi"/>
          <w:b/>
          <w:sz w:val="24"/>
          <w:szCs w:val="24"/>
        </w:rPr>
        <w:t>2018</w:t>
      </w:r>
      <w:r w:rsidR="00410EDA" w:rsidRPr="00E32176">
        <w:rPr>
          <w:rFonts w:cstheme="minorHAnsi"/>
          <w:sz w:val="24"/>
          <w:szCs w:val="24"/>
        </w:rPr>
        <w:t xml:space="preserve">. I lavori avviati nel 2018, che si rifletteranno in una spesa negli anni successivi, </w:t>
      </w:r>
      <w:r w:rsidR="001C115C" w:rsidRPr="00E32176">
        <w:rPr>
          <w:rFonts w:cstheme="minorHAnsi"/>
          <w:sz w:val="24"/>
          <w:szCs w:val="24"/>
        </w:rPr>
        <w:t xml:space="preserve">da parte di tutte le stazioni appaltanti (centrali e locali) </w:t>
      </w:r>
      <w:r w:rsidR="00B42FD5" w:rsidRPr="00E32176">
        <w:rPr>
          <w:rFonts w:cstheme="minorHAnsi"/>
          <w:sz w:val="24"/>
          <w:szCs w:val="24"/>
        </w:rPr>
        <w:t>sono aumentati</w:t>
      </w:r>
      <w:r w:rsidR="001C115C" w:rsidRPr="00E32176">
        <w:rPr>
          <w:rFonts w:cstheme="minorHAnsi"/>
          <w:sz w:val="24"/>
          <w:szCs w:val="24"/>
        </w:rPr>
        <w:t xml:space="preserve"> del </w:t>
      </w:r>
      <w:r w:rsidR="001C115C" w:rsidRPr="00E32176">
        <w:rPr>
          <w:rFonts w:cstheme="minorHAnsi"/>
          <w:b/>
          <w:sz w:val="24"/>
          <w:szCs w:val="24"/>
        </w:rPr>
        <w:t>14% nel numero</w:t>
      </w:r>
      <w:r w:rsidR="001C115C" w:rsidRPr="00E32176">
        <w:rPr>
          <w:rFonts w:cstheme="minorHAnsi"/>
          <w:sz w:val="24"/>
          <w:szCs w:val="24"/>
        </w:rPr>
        <w:t xml:space="preserve"> e del 60% negli importi. Si tratta di alcune </w:t>
      </w:r>
      <w:r w:rsidR="00B42FD5" w:rsidRPr="00E32176">
        <w:rPr>
          <w:rFonts w:cstheme="minorHAnsi"/>
          <w:sz w:val="24"/>
          <w:szCs w:val="24"/>
        </w:rPr>
        <w:t>importanti</w:t>
      </w:r>
      <w:r w:rsidR="001C115C" w:rsidRPr="00E32176">
        <w:rPr>
          <w:rFonts w:cstheme="minorHAnsi"/>
          <w:sz w:val="24"/>
          <w:szCs w:val="24"/>
        </w:rPr>
        <w:t xml:space="preserve"> opere appaltate da grandi imprese a partecipazione pubblica e concessionari di reti e infrastrutture (+120% del valore rispetto al 2017 e +25% del numero) ma anche sul fronte degli </w:t>
      </w:r>
      <w:r w:rsidR="00B42FD5" w:rsidRPr="00E32176">
        <w:rPr>
          <w:rFonts w:cstheme="minorHAnsi"/>
          <w:sz w:val="24"/>
          <w:szCs w:val="24"/>
        </w:rPr>
        <w:t>E</w:t>
      </w:r>
      <w:r w:rsidR="001C115C" w:rsidRPr="00E32176">
        <w:rPr>
          <w:rFonts w:cstheme="minorHAnsi"/>
          <w:sz w:val="24"/>
          <w:szCs w:val="24"/>
        </w:rPr>
        <w:t xml:space="preserve">nti locali il 2018 registra un incremento </w:t>
      </w:r>
      <w:r w:rsidR="001C115C" w:rsidRPr="00E32176">
        <w:rPr>
          <w:rFonts w:cstheme="minorHAnsi"/>
          <w:b/>
          <w:sz w:val="24"/>
          <w:szCs w:val="24"/>
        </w:rPr>
        <w:t>del valore (+22%) e del numero di procedure avviate (+12%)</w:t>
      </w:r>
      <w:r w:rsidR="000F6562" w:rsidRPr="00E32176">
        <w:rPr>
          <w:rFonts w:cstheme="minorHAnsi"/>
          <w:b/>
          <w:sz w:val="24"/>
          <w:szCs w:val="24"/>
        </w:rPr>
        <w:t xml:space="preserve"> dai </w:t>
      </w:r>
      <w:r w:rsidR="00B42FD5" w:rsidRPr="00E32176">
        <w:rPr>
          <w:rFonts w:cstheme="minorHAnsi"/>
          <w:b/>
          <w:sz w:val="24"/>
          <w:szCs w:val="24"/>
        </w:rPr>
        <w:t>C</w:t>
      </w:r>
      <w:r w:rsidR="000F6562" w:rsidRPr="00E32176">
        <w:rPr>
          <w:rFonts w:cstheme="minorHAnsi"/>
          <w:b/>
          <w:sz w:val="24"/>
          <w:szCs w:val="24"/>
        </w:rPr>
        <w:t>omuni</w:t>
      </w:r>
      <w:r w:rsidR="001C115C" w:rsidRPr="00E32176">
        <w:rPr>
          <w:rFonts w:cstheme="minorHAnsi"/>
          <w:b/>
          <w:sz w:val="24"/>
          <w:szCs w:val="24"/>
        </w:rPr>
        <w:t>.</w:t>
      </w:r>
    </w:p>
    <w:p w:rsidR="00E32176" w:rsidRPr="00E32176" w:rsidRDefault="00E32176" w:rsidP="00E32176">
      <w:pPr>
        <w:pStyle w:val="Paragrafoelenco"/>
        <w:spacing w:after="0" w:line="360" w:lineRule="auto"/>
        <w:jc w:val="both"/>
        <w:rPr>
          <w:rFonts w:cstheme="minorHAnsi"/>
          <w:sz w:val="24"/>
          <w:szCs w:val="24"/>
        </w:rPr>
      </w:pPr>
    </w:p>
    <w:p w:rsidR="00EA0D6F" w:rsidRPr="00E32176" w:rsidRDefault="00EA0D6F" w:rsidP="00E32176">
      <w:pPr>
        <w:pStyle w:val="Paragrafoelenco"/>
        <w:numPr>
          <w:ilvl w:val="0"/>
          <w:numId w:val="2"/>
        </w:numPr>
        <w:spacing w:after="0" w:line="360" w:lineRule="auto"/>
        <w:jc w:val="both"/>
        <w:rPr>
          <w:rFonts w:cstheme="minorHAnsi"/>
          <w:sz w:val="24"/>
          <w:szCs w:val="24"/>
        </w:rPr>
      </w:pPr>
      <w:r w:rsidRPr="00E32176">
        <w:rPr>
          <w:rFonts w:cstheme="minorHAnsi"/>
          <w:sz w:val="24"/>
          <w:szCs w:val="24"/>
        </w:rPr>
        <w:t xml:space="preserve">RISORSE PUBBLICHE E FONDI PRIVATI PER GLI INVESTIMENTI (cap 3 curato da SRM Intesa SanPaolo). Questo capitolo è dedicato agli strumenti di finanziamento degli enti. Rappresenta un monitoraggio del debito degli enti e degli strumenti finanziari. Il </w:t>
      </w:r>
      <w:r w:rsidRPr="00E32176">
        <w:rPr>
          <w:rFonts w:cstheme="minorHAnsi"/>
          <w:b/>
          <w:sz w:val="24"/>
          <w:szCs w:val="24"/>
        </w:rPr>
        <w:t>debito</w:t>
      </w:r>
      <w:r w:rsidRPr="00E32176">
        <w:rPr>
          <w:rFonts w:cstheme="minorHAnsi"/>
          <w:sz w:val="24"/>
          <w:szCs w:val="24"/>
        </w:rPr>
        <w:t xml:space="preserve"> nelle mani degli enti locali è una quota marginale del debito pubblico nazionale e in riduzione, a causa dei limiti imposti dalla normativa. Una componente fondamentale è rappresentata dalle </w:t>
      </w:r>
      <w:r w:rsidRPr="00E32176">
        <w:rPr>
          <w:rFonts w:cstheme="minorHAnsi"/>
          <w:b/>
          <w:sz w:val="24"/>
          <w:szCs w:val="24"/>
        </w:rPr>
        <w:t>politiche comunitarie</w:t>
      </w:r>
      <w:r w:rsidR="00F049B0" w:rsidRPr="00E32176">
        <w:rPr>
          <w:rFonts w:cstheme="minorHAnsi"/>
          <w:b/>
          <w:sz w:val="24"/>
          <w:szCs w:val="24"/>
        </w:rPr>
        <w:t>…</w:t>
      </w:r>
      <w:r w:rsidRPr="00E32176">
        <w:rPr>
          <w:rFonts w:cstheme="minorHAnsi"/>
          <w:sz w:val="24"/>
          <w:szCs w:val="24"/>
        </w:rPr>
        <w:t xml:space="preserve">. Il </w:t>
      </w:r>
      <w:r w:rsidRPr="00E32176">
        <w:rPr>
          <w:rFonts w:cstheme="minorHAnsi"/>
          <w:b/>
          <w:sz w:val="24"/>
          <w:szCs w:val="24"/>
        </w:rPr>
        <w:t>project financing</w:t>
      </w:r>
      <w:r w:rsidRPr="00E32176">
        <w:rPr>
          <w:rFonts w:cstheme="minorHAnsi"/>
          <w:sz w:val="24"/>
          <w:szCs w:val="24"/>
        </w:rPr>
        <w:t xml:space="preserve"> ancora stenta ad affermarsi come strumento a sostegno degli investimenti del paese, nonostante sia cresciuto nell’ultimo anno.</w:t>
      </w:r>
    </w:p>
    <w:p w:rsidR="00E32176" w:rsidRPr="00E32176" w:rsidRDefault="00E32176" w:rsidP="00E32176">
      <w:pPr>
        <w:pStyle w:val="Paragrafoelenco"/>
        <w:spacing w:after="0" w:line="360" w:lineRule="auto"/>
        <w:rPr>
          <w:rFonts w:cstheme="minorHAnsi"/>
          <w:sz w:val="24"/>
          <w:szCs w:val="24"/>
        </w:rPr>
      </w:pPr>
    </w:p>
    <w:p w:rsidR="006E4744" w:rsidRPr="00E32176" w:rsidRDefault="006E4744" w:rsidP="00E32176">
      <w:pPr>
        <w:pStyle w:val="Paragrafoelenco"/>
        <w:numPr>
          <w:ilvl w:val="0"/>
          <w:numId w:val="2"/>
        </w:numPr>
        <w:spacing w:after="0" w:line="360" w:lineRule="auto"/>
        <w:jc w:val="both"/>
        <w:rPr>
          <w:rFonts w:cstheme="minorHAnsi"/>
          <w:sz w:val="24"/>
          <w:szCs w:val="24"/>
        </w:rPr>
      </w:pPr>
      <w:r w:rsidRPr="00E32176">
        <w:rPr>
          <w:rFonts w:cstheme="minorHAnsi"/>
          <w:sz w:val="24"/>
          <w:szCs w:val="24"/>
        </w:rPr>
        <w:t>LA FINANZA REGIONALE (CAP 2. Curato da IPRES e IRPET)</w:t>
      </w:r>
      <w:r w:rsidRPr="00E32176">
        <w:rPr>
          <w:rFonts w:eastAsia="Times New Roman" w:cstheme="minorHAnsi"/>
          <w:bCs/>
          <w:sz w:val="24"/>
          <w:szCs w:val="24"/>
        </w:rPr>
        <w:t xml:space="preserve">. </w:t>
      </w:r>
      <w:r w:rsidRPr="00E32176">
        <w:rPr>
          <w:rFonts w:eastAsia="Times New Roman" w:cstheme="minorHAnsi"/>
          <w:b/>
          <w:bCs/>
          <w:sz w:val="24"/>
          <w:szCs w:val="24"/>
        </w:rPr>
        <w:t>Nel triennio 2016-2018 le spese delle Regioni sono risultate in lieve aumento</w:t>
      </w:r>
      <w:r w:rsidRPr="00E32176">
        <w:rPr>
          <w:rFonts w:eastAsia="Times New Roman" w:cstheme="minorHAnsi"/>
          <w:bCs/>
          <w:sz w:val="24"/>
          <w:szCs w:val="24"/>
        </w:rPr>
        <w:t xml:space="preserve">, passando da 180,5 a 181,8 miliardi di euro (+0,7%). Tale incremento ha riguardato sia la componente di spesa corrente, sia quella per investimenti.  </w:t>
      </w:r>
    </w:p>
    <w:p w:rsidR="006E4744" w:rsidRPr="00E32176" w:rsidRDefault="006E4744" w:rsidP="00E32176">
      <w:pPr>
        <w:pStyle w:val="Paragrafoelenco"/>
        <w:autoSpaceDE w:val="0"/>
        <w:autoSpaceDN w:val="0"/>
        <w:adjustRightInd w:val="0"/>
        <w:spacing w:after="0" w:line="360" w:lineRule="auto"/>
        <w:jc w:val="both"/>
        <w:rPr>
          <w:rFonts w:cstheme="minorHAnsi"/>
          <w:color w:val="222222"/>
          <w:sz w:val="24"/>
          <w:szCs w:val="24"/>
        </w:rPr>
      </w:pPr>
      <w:r w:rsidRPr="00E32176">
        <w:rPr>
          <w:rFonts w:cstheme="minorHAnsi"/>
          <w:color w:val="222222"/>
          <w:sz w:val="24"/>
          <w:szCs w:val="24"/>
        </w:rPr>
        <w:t xml:space="preserve">A livello generale, sommando spesa corrente e spesa in conto capitale, </w:t>
      </w:r>
      <w:r w:rsidRPr="00E32176">
        <w:rPr>
          <w:rFonts w:cstheme="minorHAnsi"/>
          <w:b/>
          <w:color w:val="222222"/>
          <w:sz w:val="24"/>
          <w:szCs w:val="24"/>
        </w:rPr>
        <w:t>sono Lombardia (26,7 miliardi di euro), Lazio (16,4 miliardi) e Campania (14,8 miliardi) a sostenere i livelli di spesa più alti</w:t>
      </w:r>
      <w:r w:rsidRPr="00E32176">
        <w:rPr>
          <w:rFonts w:cstheme="minorHAnsi"/>
          <w:color w:val="222222"/>
          <w:sz w:val="24"/>
          <w:szCs w:val="24"/>
        </w:rPr>
        <w:t xml:space="preserve">, Molise (1,1 miliardo), Basilicata (1,9 miliardo) e Umbria (2,4 miliardi) quelli più bassi.  </w:t>
      </w:r>
    </w:p>
    <w:p w:rsidR="006E4744" w:rsidRPr="00E32176" w:rsidRDefault="00C10539" w:rsidP="00E32176">
      <w:pPr>
        <w:pStyle w:val="Paragrafoelenco"/>
        <w:spacing w:after="0" w:line="360" w:lineRule="auto"/>
        <w:jc w:val="both"/>
        <w:rPr>
          <w:rFonts w:eastAsia="Times New Roman" w:cstheme="minorHAnsi"/>
          <w:sz w:val="24"/>
          <w:szCs w:val="24"/>
        </w:rPr>
      </w:pPr>
      <w:r w:rsidRPr="00E32176">
        <w:rPr>
          <w:rFonts w:cstheme="minorHAnsi"/>
          <w:sz w:val="24"/>
          <w:szCs w:val="24"/>
        </w:rPr>
        <w:t xml:space="preserve">La </w:t>
      </w:r>
      <w:r w:rsidR="006E4744" w:rsidRPr="00E32176">
        <w:rPr>
          <w:rFonts w:cstheme="minorHAnsi"/>
          <w:sz w:val="24"/>
          <w:szCs w:val="24"/>
        </w:rPr>
        <w:t>R</w:t>
      </w:r>
      <w:r w:rsidRPr="00E32176">
        <w:rPr>
          <w:rFonts w:cstheme="minorHAnsi"/>
          <w:sz w:val="24"/>
          <w:szCs w:val="24"/>
        </w:rPr>
        <w:t xml:space="preserve">egione ricopre importanti funzioni </w:t>
      </w:r>
      <w:r w:rsidR="007D7786" w:rsidRPr="00E32176">
        <w:rPr>
          <w:rFonts w:cstheme="minorHAnsi"/>
          <w:sz w:val="24"/>
          <w:szCs w:val="24"/>
        </w:rPr>
        <w:t>nei propri</w:t>
      </w:r>
      <w:r w:rsidRPr="00E32176">
        <w:rPr>
          <w:rFonts w:cstheme="minorHAnsi"/>
          <w:sz w:val="24"/>
          <w:szCs w:val="24"/>
        </w:rPr>
        <w:t xml:space="preserve"> territori </w:t>
      </w:r>
      <w:r w:rsidR="007D7786" w:rsidRPr="00E32176">
        <w:rPr>
          <w:rFonts w:cstheme="minorHAnsi"/>
          <w:sz w:val="24"/>
          <w:szCs w:val="24"/>
        </w:rPr>
        <w:t xml:space="preserve">con compiti di gestione ma soprattutto di programmazione e coordinamento di servizi importanti quali la sanità, il </w:t>
      </w:r>
      <w:r w:rsidR="007D7786" w:rsidRPr="00E32176">
        <w:rPr>
          <w:rFonts w:cstheme="minorHAnsi"/>
          <w:sz w:val="24"/>
          <w:szCs w:val="24"/>
        </w:rPr>
        <w:lastRenderedPageBreak/>
        <w:t xml:space="preserve">trasporto pubblico, le politiche attive per il lavoro. </w:t>
      </w:r>
      <w:r w:rsidR="006E4744" w:rsidRPr="00E32176">
        <w:rPr>
          <w:rFonts w:cstheme="minorHAnsi"/>
          <w:sz w:val="24"/>
          <w:szCs w:val="24"/>
        </w:rPr>
        <w:t xml:space="preserve">Rispetto alla principale voce di </w:t>
      </w:r>
      <w:r w:rsidR="006E4744" w:rsidRPr="00E32176">
        <w:rPr>
          <w:rFonts w:cstheme="minorHAnsi"/>
          <w:b/>
          <w:sz w:val="24"/>
          <w:szCs w:val="24"/>
        </w:rPr>
        <w:t>spesa</w:t>
      </w:r>
      <w:r w:rsidR="006E4744" w:rsidRPr="00E32176">
        <w:rPr>
          <w:rFonts w:cstheme="minorHAnsi"/>
          <w:sz w:val="24"/>
          <w:szCs w:val="24"/>
        </w:rPr>
        <w:t xml:space="preserve">, che è quella </w:t>
      </w:r>
      <w:r w:rsidR="006E4744" w:rsidRPr="00E32176">
        <w:rPr>
          <w:rFonts w:cstheme="minorHAnsi"/>
          <w:b/>
          <w:sz w:val="24"/>
          <w:szCs w:val="24"/>
        </w:rPr>
        <w:t xml:space="preserve">sanitaria, si è riscontrato nel 2018 un incremento del </w:t>
      </w:r>
      <w:r w:rsidR="006E4744" w:rsidRPr="00E32176">
        <w:rPr>
          <w:rFonts w:eastAsia="Times New Roman" w:cstheme="minorHAnsi"/>
          <w:b/>
          <w:sz w:val="24"/>
          <w:szCs w:val="24"/>
        </w:rPr>
        <w:t>+8,2% rispetto al 2017</w:t>
      </w:r>
      <w:r w:rsidR="006E4744" w:rsidRPr="00E32176">
        <w:rPr>
          <w:rFonts w:eastAsia="Times New Roman" w:cstheme="minorHAnsi"/>
          <w:sz w:val="24"/>
          <w:szCs w:val="24"/>
        </w:rPr>
        <w:t>.</w:t>
      </w:r>
    </w:p>
    <w:p w:rsidR="005D52F3" w:rsidRPr="00E32176" w:rsidRDefault="00992149" w:rsidP="00E32176">
      <w:pPr>
        <w:spacing w:after="0" w:line="360" w:lineRule="auto"/>
        <w:ind w:left="709"/>
        <w:jc w:val="both"/>
        <w:rPr>
          <w:rFonts w:eastAsia="Times New Roman" w:cstheme="minorHAnsi"/>
          <w:sz w:val="24"/>
          <w:szCs w:val="24"/>
        </w:rPr>
      </w:pPr>
      <w:r w:rsidRPr="00E32176">
        <w:rPr>
          <w:rFonts w:cstheme="minorHAnsi"/>
          <w:sz w:val="24"/>
          <w:szCs w:val="24"/>
        </w:rPr>
        <w:t xml:space="preserve">Il capitolo si sofferma, infine, sui principali temi aperti in materia di finanza regionale, ed in particolare su: </w:t>
      </w:r>
      <w:r w:rsidRPr="00E32176">
        <w:rPr>
          <w:rFonts w:cstheme="minorHAnsi"/>
          <w:b/>
          <w:sz w:val="24"/>
          <w:szCs w:val="24"/>
        </w:rPr>
        <w:t>il nuovo regime di fiscalità regionale</w:t>
      </w:r>
      <w:r w:rsidRPr="00E32176">
        <w:rPr>
          <w:rFonts w:cstheme="minorHAnsi"/>
          <w:sz w:val="24"/>
          <w:szCs w:val="24"/>
        </w:rPr>
        <w:t xml:space="preserve">, la cui entrata in vigore è stata rinviata al 2021; </w:t>
      </w:r>
      <w:r w:rsidRPr="00E32176">
        <w:rPr>
          <w:rFonts w:cstheme="minorHAnsi"/>
          <w:b/>
          <w:sz w:val="24"/>
          <w:szCs w:val="24"/>
        </w:rPr>
        <w:t>la definizione dei LEP</w:t>
      </w:r>
      <w:r w:rsidRPr="00E32176">
        <w:rPr>
          <w:rFonts w:cstheme="minorHAnsi"/>
          <w:sz w:val="24"/>
          <w:szCs w:val="24"/>
        </w:rPr>
        <w:t xml:space="preserve">, quale passaggio indispensabile per il superamento delle differenze geografiche nei livelli quantitativi e qualitativi di fornitura dei servizi pubblici; </w:t>
      </w:r>
      <w:r w:rsidRPr="00E32176">
        <w:rPr>
          <w:rFonts w:cstheme="minorHAnsi"/>
          <w:b/>
          <w:sz w:val="24"/>
          <w:szCs w:val="24"/>
        </w:rPr>
        <w:t>il nuovo sistema di garanzia dei LEA</w:t>
      </w:r>
      <w:r w:rsidRPr="00E32176">
        <w:rPr>
          <w:rFonts w:cstheme="minorHAnsi"/>
          <w:sz w:val="24"/>
          <w:szCs w:val="24"/>
        </w:rPr>
        <w:t>, attualmente in fase di sperimentazione</w:t>
      </w:r>
      <w:r w:rsidR="009B2544" w:rsidRPr="00E32176">
        <w:rPr>
          <w:rFonts w:cstheme="minorHAnsi"/>
          <w:sz w:val="24"/>
          <w:szCs w:val="24"/>
        </w:rPr>
        <w:t>;</w:t>
      </w:r>
      <w:r w:rsidRPr="00E32176">
        <w:rPr>
          <w:rFonts w:cstheme="minorHAnsi"/>
          <w:b/>
          <w:sz w:val="24"/>
          <w:szCs w:val="24"/>
        </w:rPr>
        <w:t xml:space="preserve"> la perequazione infrastrutturale</w:t>
      </w:r>
      <w:r w:rsidRPr="00E32176">
        <w:rPr>
          <w:rFonts w:cstheme="minorHAnsi"/>
          <w:sz w:val="24"/>
          <w:szCs w:val="24"/>
        </w:rPr>
        <w:t>, rimasta ancora inattuata pur se prevista dalla L. 42</w:t>
      </w:r>
      <w:r w:rsidR="00EF4239" w:rsidRPr="00E32176">
        <w:rPr>
          <w:rFonts w:cstheme="minorHAnsi"/>
          <w:sz w:val="24"/>
          <w:szCs w:val="24"/>
        </w:rPr>
        <w:t xml:space="preserve">/2009; </w:t>
      </w:r>
      <w:r w:rsidR="00EF4239" w:rsidRPr="00E32176">
        <w:rPr>
          <w:rFonts w:cstheme="minorHAnsi"/>
          <w:b/>
          <w:sz w:val="24"/>
          <w:szCs w:val="24"/>
        </w:rPr>
        <w:t>la riserva per il Mezzogiorno del 34% di spesa ordinaria in conto capitale delle Amministrazioni centrali</w:t>
      </w:r>
      <w:r w:rsidR="00EF4239" w:rsidRPr="00E32176">
        <w:rPr>
          <w:rFonts w:eastAsia="Times New Roman" w:cstheme="minorHAnsi"/>
          <w:sz w:val="24"/>
          <w:szCs w:val="24"/>
        </w:rPr>
        <w:t>, prevista dall</w:t>
      </w:r>
      <w:r w:rsidR="00501D68" w:rsidRPr="00E32176">
        <w:rPr>
          <w:rFonts w:eastAsia="Times New Roman" w:cstheme="minorHAnsi"/>
          <w:sz w:val="24"/>
          <w:szCs w:val="24"/>
        </w:rPr>
        <w:t>’art. 7-bis della legge n. 18/2017</w:t>
      </w:r>
      <w:r w:rsidR="00EF4239" w:rsidRPr="00E32176">
        <w:rPr>
          <w:rFonts w:eastAsia="Times New Roman" w:cstheme="minorHAnsi"/>
          <w:sz w:val="24"/>
          <w:szCs w:val="24"/>
        </w:rPr>
        <w:t>, pure questa ancora inattuata.</w:t>
      </w:r>
    </w:p>
    <w:p w:rsidR="00E32176" w:rsidRPr="00E32176" w:rsidRDefault="00E32176" w:rsidP="00E32176">
      <w:pPr>
        <w:spacing w:after="0" w:line="360" w:lineRule="auto"/>
        <w:ind w:left="709"/>
        <w:jc w:val="both"/>
        <w:rPr>
          <w:rFonts w:cstheme="minorHAnsi"/>
          <w:sz w:val="24"/>
          <w:szCs w:val="24"/>
        </w:rPr>
      </w:pPr>
    </w:p>
    <w:p w:rsidR="006245BE" w:rsidRPr="00E32176" w:rsidRDefault="006C19DC" w:rsidP="00E32176">
      <w:pPr>
        <w:pStyle w:val="Paragrafoelenco"/>
        <w:numPr>
          <w:ilvl w:val="0"/>
          <w:numId w:val="2"/>
        </w:numPr>
        <w:spacing w:after="0" w:line="360" w:lineRule="auto"/>
        <w:jc w:val="both"/>
        <w:rPr>
          <w:rFonts w:cstheme="minorHAnsi"/>
          <w:sz w:val="24"/>
          <w:szCs w:val="24"/>
        </w:rPr>
      </w:pPr>
      <w:r w:rsidRPr="00E32176">
        <w:rPr>
          <w:rFonts w:cstheme="minorHAnsi"/>
          <w:sz w:val="24"/>
          <w:szCs w:val="24"/>
        </w:rPr>
        <w:t>DECENTRAMENTO ED ASIMMETRIA, PIU’ EFFICIENZA AL COSTO DI PIU’ DISPARITA’?. Il livello di</w:t>
      </w:r>
      <w:r w:rsidR="00407269" w:rsidRPr="00E32176">
        <w:rPr>
          <w:rFonts w:cstheme="minorHAnsi"/>
          <w:sz w:val="24"/>
          <w:szCs w:val="24"/>
        </w:rPr>
        <w:t xml:space="preserve"> governo</w:t>
      </w:r>
      <w:r w:rsidRPr="00E32176">
        <w:rPr>
          <w:rFonts w:cstheme="minorHAnsi"/>
          <w:sz w:val="24"/>
          <w:szCs w:val="24"/>
        </w:rPr>
        <w:t xml:space="preserve"> regionale</w:t>
      </w:r>
      <w:r w:rsidR="00407269" w:rsidRPr="00E32176">
        <w:rPr>
          <w:rFonts w:cstheme="minorHAnsi"/>
          <w:sz w:val="24"/>
          <w:szCs w:val="24"/>
        </w:rPr>
        <w:t xml:space="preserve"> è stato nel corso dell’ultimo anno al </w:t>
      </w:r>
      <w:r w:rsidR="005F5B73" w:rsidRPr="00E32176">
        <w:rPr>
          <w:rFonts w:cstheme="minorHAnsi"/>
          <w:sz w:val="24"/>
          <w:szCs w:val="24"/>
        </w:rPr>
        <w:t>centro di importanti processi di riforma</w:t>
      </w:r>
      <w:r w:rsidR="003E06C5" w:rsidRPr="00E32176">
        <w:rPr>
          <w:rFonts w:cstheme="minorHAnsi"/>
          <w:sz w:val="24"/>
          <w:szCs w:val="24"/>
        </w:rPr>
        <w:t xml:space="preserve"> (cap4 curato da I</w:t>
      </w:r>
      <w:r w:rsidRPr="00E32176">
        <w:rPr>
          <w:rFonts w:cstheme="minorHAnsi"/>
          <w:sz w:val="24"/>
          <w:szCs w:val="24"/>
        </w:rPr>
        <w:t>RPET</w:t>
      </w:r>
      <w:r w:rsidR="003E06C5" w:rsidRPr="00E32176">
        <w:rPr>
          <w:rFonts w:cstheme="minorHAnsi"/>
          <w:sz w:val="24"/>
          <w:szCs w:val="24"/>
        </w:rPr>
        <w:t>)</w:t>
      </w:r>
      <w:r w:rsidR="00B4197E" w:rsidRPr="00E32176">
        <w:rPr>
          <w:rFonts w:cstheme="minorHAnsi"/>
          <w:sz w:val="24"/>
          <w:szCs w:val="24"/>
        </w:rPr>
        <w:t>.</w:t>
      </w:r>
      <w:r w:rsidRPr="00E32176">
        <w:rPr>
          <w:rFonts w:cstheme="minorHAnsi"/>
          <w:sz w:val="24"/>
          <w:szCs w:val="24"/>
        </w:rPr>
        <w:t xml:space="preserve"> </w:t>
      </w:r>
      <w:r w:rsidR="009931FE" w:rsidRPr="00E32176">
        <w:rPr>
          <w:rFonts w:cstheme="minorHAnsi"/>
          <w:sz w:val="24"/>
          <w:szCs w:val="24"/>
        </w:rPr>
        <w:t xml:space="preserve">Le richieste di autonomia presentate da alcune regioni del paese (Veneto, Lombardia, Emilia Romagna) hanno </w:t>
      </w:r>
      <w:r w:rsidR="00745726" w:rsidRPr="00E32176">
        <w:rPr>
          <w:rFonts w:cstheme="minorHAnsi"/>
          <w:sz w:val="24"/>
          <w:szCs w:val="24"/>
        </w:rPr>
        <w:t xml:space="preserve">occupato largo spazio del dibattito politico dell’ultimo anno. </w:t>
      </w:r>
      <w:r w:rsidR="001F78F3" w:rsidRPr="00E32176">
        <w:rPr>
          <w:rFonts w:cstheme="minorHAnsi"/>
          <w:sz w:val="24"/>
          <w:szCs w:val="24"/>
        </w:rPr>
        <w:t xml:space="preserve">Alla base delle richieste sta l’obiettivo di raggiungere più elevati livelli di servizio nell’offerta a scala locale rispetto all’amministrazione centrale. In realtà molto differenziate come quella del nostro Paese, il dibattito si è molto occupato delle conseguenze del decentramento asimmetrico sull’equità territoriale e sul principio della solidarietà tra individui ed aree. </w:t>
      </w:r>
      <w:r w:rsidR="00B4197E" w:rsidRPr="00E32176">
        <w:rPr>
          <w:rFonts w:cstheme="minorHAnsi"/>
          <w:sz w:val="24"/>
          <w:szCs w:val="24"/>
        </w:rPr>
        <w:t xml:space="preserve">E’ in discussione in questi giorni una nuova proposta di </w:t>
      </w:r>
      <w:r w:rsidR="00B4197E" w:rsidRPr="00E32176">
        <w:rPr>
          <w:rFonts w:cstheme="minorHAnsi"/>
          <w:b/>
          <w:sz w:val="24"/>
          <w:szCs w:val="24"/>
        </w:rPr>
        <w:t>Legge Quadro</w:t>
      </w:r>
      <w:r w:rsidR="00B4197E" w:rsidRPr="00E32176">
        <w:rPr>
          <w:rFonts w:cstheme="minorHAnsi"/>
          <w:sz w:val="24"/>
          <w:szCs w:val="24"/>
        </w:rPr>
        <w:t xml:space="preserve"> sul tema dell’asimmetria, che raccoglie molte delle osservazioni e</w:t>
      </w:r>
      <w:r w:rsidR="003C0374" w:rsidRPr="00E32176">
        <w:rPr>
          <w:rFonts w:cstheme="minorHAnsi"/>
          <w:sz w:val="24"/>
          <w:szCs w:val="24"/>
        </w:rPr>
        <w:t>merse nel dibattito più recente.</w:t>
      </w:r>
      <w:r w:rsidR="00A96FB6" w:rsidRPr="00E32176">
        <w:rPr>
          <w:rFonts w:cstheme="minorHAnsi"/>
          <w:sz w:val="24"/>
          <w:szCs w:val="24"/>
        </w:rPr>
        <w:t xml:space="preserve"> Il processo di autonomia viene </w:t>
      </w:r>
      <w:r w:rsidR="000E7E7A" w:rsidRPr="00E32176">
        <w:rPr>
          <w:rFonts w:cstheme="minorHAnsi"/>
          <w:sz w:val="24"/>
          <w:szCs w:val="24"/>
        </w:rPr>
        <w:t>ricondotto</w:t>
      </w:r>
      <w:r w:rsidR="00A96FB6" w:rsidRPr="00E32176">
        <w:rPr>
          <w:rFonts w:cstheme="minorHAnsi"/>
          <w:sz w:val="24"/>
          <w:szCs w:val="24"/>
        </w:rPr>
        <w:t xml:space="preserve"> nel solco della </w:t>
      </w:r>
      <w:r w:rsidR="00A96FB6" w:rsidRPr="00E32176">
        <w:rPr>
          <w:rFonts w:cstheme="minorHAnsi"/>
          <w:b/>
          <w:sz w:val="24"/>
          <w:szCs w:val="24"/>
        </w:rPr>
        <w:t xml:space="preserve">riforma federalista </w:t>
      </w:r>
      <w:r w:rsidR="00A96FB6" w:rsidRPr="00E32176">
        <w:rPr>
          <w:rFonts w:cstheme="minorHAnsi"/>
          <w:sz w:val="24"/>
          <w:szCs w:val="24"/>
        </w:rPr>
        <w:t>prevista dall’ art. 116 della Costituzione, una riforma ampiamente discussa e condivisa in sede politica e tecnica il cui processo di applicazione ha subito forti rallentamenti</w:t>
      </w:r>
      <w:r w:rsidR="005B146B" w:rsidRPr="00E32176">
        <w:rPr>
          <w:rFonts w:cstheme="minorHAnsi"/>
          <w:sz w:val="24"/>
          <w:szCs w:val="24"/>
        </w:rPr>
        <w:t xml:space="preserve">. La legge quadro ribadisce il superamento dei costi storici </w:t>
      </w:r>
      <w:r w:rsidR="003C0374" w:rsidRPr="00E32176">
        <w:rPr>
          <w:rFonts w:cstheme="minorHAnsi"/>
          <w:sz w:val="24"/>
          <w:szCs w:val="24"/>
        </w:rPr>
        <w:t xml:space="preserve"> </w:t>
      </w:r>
      <w:r w:rsidR="00DE08DB" w:rsidRPr="00E32176">
        <w:rPr>
          <w:rFonts w:cstheme="minorHAnsi"/>
          <w:sz w:val="24"/>
          <w:szCs w:val="24"/>
        </w:rPr>
        <w:t>a favore di una</w:t>
      </w:r>
      <w:r w:rsidR="00882F0C" w:rsidRPr="00E32176">
        <w:rPr>
          <w:rFonts w:cstheme="minorHAnsi"/>
          <w:sz w:val="24"/>
          <w:szCs w:val="24"/>
        </w:rPr>
        <w:t xml:space="preserve"> maggiore uniformità nei costi del servizio sul territorio (fabbisogni standard) limitando le inefficienze, ma anche sulla garanzia di servizi essenziali uniformi a tutti i cittadini, in ogni parte del Paese. </w:t>
      </w:r>
      <w:r w:rsidR="00882F0C" w:rsidRPr="00E32176">
        <w:rPr>
          <w:rFonts w:cstheme="minorHAnsi"/>
          <w:b/>
          <w:sz w:val="24"/>
          <w:szCs w:val="24"/>
        </w:rPr>
        <w:t>Questo modello federalista riconosce un ruolo importante ai trasferimenti verticali e orizzontali, a garanzia di servizi minimi essenziali sul territorio e di riequilibrio della base imponibile tra aree del paese</w:t>
      </w:r>
      <w:r w:rsidR="00882F0C" w:rsidRPr="00E32176">
        <w:rPr>
          <w:rFonts w:cstheme="minorHAnsi"/>
          <w:sz w:val="24"/>
          <w:szCs w:val="24"/>
        </w:rPr>
        <w:t xml:space="preserve">. </w:t>
      </w:r>
      <w:r w:rsidR="00056934" w:rsidRPr="00E32176">
        <w:rPr>
          <w:rFonts w:cstheme="minorHAnsi"/>
          <w:sz w:val="24"/>
          <w:szCs w:val="24"/>
        </w:rPr>
        <w:t>Il processo di autonomia poggia sulla applicazione dei</w:t>
      </w:r>
      <w:r w:rsidR="00E82252" w:rsidRPr="00E32176">
        <w:rPr>
          <w:rFonts w:cstheme="minorHAnsi"/>
          <w:sz w:val="24"/>
          <w:szCs w:val="24"/>
        </w:rPr>
        <w:t xml:space="preserve"> cost</w:t>
      </w:r>
      <w:r w:rsidR="00056934" w:rsidRPr="00E32176">
        <w:rPr>
          <w:rFonts w:cstheme="minorHAnsi"/>
          <w:sz w:val="24"/>
          <w:szCs w:val="24"/>
        </w:rPr>
        <w:t>i</w:t>
      </w:r>
      <w:r w:rsidR="00E82252" w:rsidRPr="00E32176">
        <w:rPr>
          <w:rFonts w:cstheme="minorHAnsi"/>
          <w:sz w:val="24"/>
          <w:szCs w:val="24"/>
        </w:rPr>
        <w:t xml:space="preserve"> standard e, in via transitoria, del costo storico</w:t>
      </w:r>
      <w:r w:rsidR="00114861" w:rsidRPr="00E32176">
        <w:rPr>
          <w:rFonts w:cstheme="minorHAnsi"/>
          <w:sz w:val="24"/>
          <w:szCs w:val="24"/>
        </w:rPr>
        <w:t xml:space="preserve">, mentre viene </w:t>
      </w:r>
      <w:r w:rsidR="00114861" w:rsidRPr="00E32176">
        <w:rPr>
          <w:rFonts w:cstheme="minorHAnsi"/>
          <w:sz w:val="24"/>
          <w:szCs w:val="24"/>
        </w:rPr>
        <w:lastRenderedPageBreak/>
        <w:t>superato il criterio del costo medio presentato dal precedente governo e ritenuto particolarmente squilibrato</w:t>
      </w:r>
      <w:r w:rsidR="00E82252" w:rsidRPr="00E32176">
        <w:rPr>
          <w:rFonts w:cstheme="minorHAnsi"/>
          <w:sz w:val="24"/>
          <w:szCs w:val="24"/>
        </w:rPr>
        <w:t>.</w:t>
      </w:r>
      <w:r w:rsidR="00F57521" w:rsidRPr="00E32176">
        <w:rPr>
          <w:rFonts w:cstheme="minorHAnsi"/>
          <w:sz w:val="24"/>
          <w:szCs w:val="24"/>
        </w:rPr>
        <w:t xml:space="preserve"> Prendendo ad esempio l’istruzione (funzione che comunque coinvolge quasi tutte le risorse trasferite) l’applicazione dei diversi criteri di riparto delle risorse porta ad un trasferimenti del</w:t>
      </w:r>
      <w:r w:rsidR="00F57521" w:rsidRPr="00E32176">
        <w:rPr>
          <w:rFonts w:cstheme="minorHAnsi"/>
          <w:b/>
          <w:sz w:val="24"/>
          <w:szCs w:val="24"/>
        </w:rPr>
        <w:t xml:space="preserve"> 12% del costo medio da alcune regioni ad altre, contro il 6% del costo standard (utilizzando come proxy il costo per studente)</w:t>
      </w:r>
      <w:r w:rsidR="00F57521" w:rsidRPr="00E32176">
        <w:rPr>
          <w:rFonts w:cstheme="minorHAnsi"/>
          <w:sz w:val="24"/>
          <w:szCs w:val="24"/>
        </w:rPr>
        <w:t xml:space="preserve">. </w:t>
      </w:r>
      <w:r w:rsidR="00E82252" w:rsidRPr="00E32176">
        <w:rPr>
          <w:rFonts w:cstheme="minorHAnsi"/>
          <w:sz w:val="24"/>
          <w:szCs w:val="24"/>
        </w:rPr>
        <w:t xml:space="preserve"> </w:t>
      </w:r>
      <w:r w:rsidR="00F57521" w:rsidRPr="00E32176">
        <w:rPr>
          <w:rFonts w:cstheme="minorHAnsi"/>
          <w:sz w:val="24"/>
          <w:szCs w:val="24"/>
        </w:rPr>
        <w:t>Se in generale l</w:t>
      </w:r>
      <w:r w:rsidR="006245BE" w:rsidRPr="00E32176">
        <w:rPr>
          <w:rFonts w:cstheme="minorHAnsi"/>
          <w:sz w:val="24"/>
          <w:szCs w:val="24"/>
        </w:rPr>
        <w:t xml:space="preserve">e funzioni richieste sono di natura prevalentemente amministrativa e non comportano grandi trasferimenti di risorse, </w:t>
      </w:r>
      <w:r w:rsidR="00F57521" w:rsidRPr="00E32176">
        <w:rPr>
          <w:rFonts w:cstheme="minorHAnsi"/>
          <w:sz w:val="24"/>
          <w:szCs w:val="24"/>
        </w:rPr>
        <w:t>molto più complesso è il caso del</w:t>
      </w:r>
      <w:r w:rsidR="006245BE" w:rsidRPr="00E32176">
        <w:rPr>
          <w:rFonts w:cstheme="minorHAnsi"/>
          <w:sz w:val="24"/>
          <w:szCs w:val="24"/>
        </w:rPr>
        <w:t>l’istruzione. Il passaggio dell’istruzione al governo locale pone molti punti interrogativi dal punto</w:t>
      </w:r>
      <w:r w:rsidR="00E32176">
        <w:rPr>
          <w:rFonts w:cstheme="minorHAnsi"/>
          <w:sz w:val="24"/>
          <w:szCs w:val="24"/>
        </w:rPr>
        <w:t xml:space="preserve"> di vista dell’equità </w:t>
      </w:r>
      <w:bookmarkStart w:id="0" w:name="_GoBack"/>
      <w:bookmarkEnd w:id="0"/>
      <w:r w:rsidR="00F57521" w:rsidRPr="00E32176">
        <w:rPr>
          <w:rFonts w:cstheme="minorHAnsi"/>
          <w:sz w:val="24"/>
          <w:szCs w:val="24"/>
        </w:rPr>
        <w:t xml:space="preserve">rispetto ai percorsi di crescita individuale. Inoltre il ricorso a risorse proprie per il finanziamento di questa funzione fa emerge il forte squilibrio nella futura disponibilità di servizi tra nord e sud del paese. </w:t>
      </w:r>
      <w:r w:rsidR="00F57521" w:rsidRPr="00E32176">
        <w:rPr>
          <w:rFonts w:cstheme="minorHAnsi"/>
          <w:b/>
          <w:sz w:val="24"/>
          <w:szCs w:val="24"/>
        </w:rPr>
        <w:t>L’Irpef maturata nelle regioni finanzia l’x% al sud e y% al</w:t>
      </w:r>
      <w:r w:rsidR="00F57521" w:rsidRPr="00E32176">
        <w:rPr>
          <w:rFonts w:cstheme="minorHAnsi"/>
          <w:sz w:val="24"/>
          <w:szCs w:val="24"/>
        </w:rPr>
        <w:t xml:space="preserve"> nord. La base imponibile locale potrebbe incidere sulla capacità di offerta di servizi nei territori, determinando forti discriminazioni.</w:t>
      </w:r>
      <w:r w:rsidR="006245BE" w:rsidRPr="00E32176">
        <w:rPr>
          <w:rFonts w:cstheme="minorHAnsi"/>
          <w:sz w:val="24"/>
          <w:szCs w:val="24"/>
        </w:rPr>
        <w:t xml:space="preserve">  </w:t>
      </w:r>
    </w:p>
    <w:p w:rsidR="00EA4AE1" w:rsidRPr="00E32176" w:rsidRDefault="00EA4AE1" w:rsidP="00E32176">
      <w:pPr>
        <w:spacing w:after="0" w:line="360" w:lineRule="auto"/>
        <w:jc w:val="both"/>
        <w:rPr>
          <w:rFonts w:cstheme="minorHAnsi"/>
          <w:sz w:val="24"/>
          <w:szCs w:val="24"/>
        </w:rPr>
      </w:pPr>
    </w:p>
    <w:p w:rsidR="007A3AE9" w:rsidRPr="00E32176" w:rsidRDefault="00F0316D" w:rsidP="00E32176">
      <w:pPr>
        <w:spacing w:after="0" w:line="360" w:lineRule="auto"/>
        <w:jc w:val="both"/>
        <w:rPr>
          <w:rFonts w:cstheme="minorHAnsi"/>
          <w:sz w:val="24"/>
          <w:szCs w:val="24"/>
        </w:rPr>
      </w:pPr>
      <w:r w:rsidRPr="00E32176">
        <w:rPr>
          <w:rFonts w:cstheme="minorHAnsi"/>
          <w:sz w:val="24"/>
          <w:szCs w:val="24"/>
        </w:rPr>
        <w:t>La sezione monografica presenta invece un focus sulle Amministrazioni regionali, all’avvicinarsi del primo cinquantenario della loro istituzione. Nei contributi si sottolinea l’importanza della disponibilità di una adeguata strumentazione di analisi e di idonei sistemi informativi a sostegno delle scelte degli enti decentrati, condizione per un più responsabile ruolo di governo.</w:t>
      </w:r>
    </w:p>
    <w:p w:rsidR="0001536F" w:rsidRPr="00E32176" w:rsidRDefault="0001536F" w:rsidP="00E32176">
      <w:pPr>
        <w:spacing w:after="0" w:line="360" w:lineRule="auto"/>
        <w:jc w:val="both"/>
        <w:rPr>
          <w:rFonts w:cstheme="minorHAnsi"/>
          <w:sz w:val="24"/>
          <w:szCs w:val="24"/>
        </w:rPr>
      </w:pPr>
      <w:r w:rsidRPr="00E32176">
        <w:rPr>
          <w:rFonts w:cstheme="minorHAnsi"/>
          <w:sz w:val="24"/>
          <w:szCs w:val="24"/>
        </w:rPr>
        <w:t xml:space="preserve">La sezione comprende, nello specifico, capitoli rispettivamente dedicati: alla rassegna delle scelte effettuate dalle Regioni a statuto ordinario in merito al contenuto e al coordinamento interno dei documenti di programmazione regionali; all’esperienza della Regione Lombardia nella rilevazione degli Enti del sistema Conti Pubblici Territoriali (CPT); al caso di LigurMOD quale modello di microsimulazione fiscale in ambito locale; </w:t>
      </w:r>
      <w:r w:rsidR="005D7573" w:rsidRPr="00E32176">
        <w:rPr>
          <w:rFonts w:cstheme="minorHAnsi"/>
          <w:sz w:val="24"/>
          <w:szCs w:val="24"/>
        </w:rPr>
        <w:t>ad una ricostruzione, attraverso i Conti Pubblici Territoriali, dell</w:t>
      </w:r>
      <w:r w:rsidRPr="00E32176">
        <w:rPr>
          <w:rFonts w:cstheme="minorHAnsi"/>
          <w:sz w:val="24"/>
          <w:szCs w:val="24"/>
        </w:rPr>
        <w:t>e risorse pubbliche per il sistema educativo nelle ripartizioni italiane</w:t>
      </w:r>
      <w:r w:rsidR="005D7573" w:rsidRPr="00E32176">
        <w:rPr>
          <w:rFonts w:cstheme="minorHAnsi"/>
          <w:sz w:val="24"/>
          <w:szCs w:val="24"/>
        </w:rPr>
        <w:t>; ed ad un’analisi quantitativa degli Aiuti di Stato e delle disparità territoriali in Italia.</w:t>
      </w:r>
    </w:p>
    <w:p w:rsidR="00B04113" w:rsidRPr="00E32176" w:rsidRDefault="00B04113" w:rsidP="00E32176">
      <w:pPr>
        <w:spacing w:after="0" w:line="360" w:lineRule="auto"/>
        <w:jc w:val="both"/>
        <w:rPr>
          <w:rFonts w:cstheme="minorHAnsi"/>
          <w:sz w:val="24"/>
          <w:szCs w:val="24"/>
        </w:rPr>
      </w:pPr>
    </w:p>
    <w:sectPr w:rsidR="00B04113" w:rsidRPr="00E32176" w:rsidSect="007A3AE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76" w:rsidRDefault="00E32176" w:rsidP="00E32176">
      <w:pPr>
        <w:spacing w:after="0" w:line="240" w:lineRule="auto"/>
      </w:pPr>
      <w:r>
        <w:separator/>
      </w:r>
    </w:p>
  </w:endnote>
  <w:endnote w:type="continuationSeparator" w:id="0">
    <w:p w:rsidR="00E32176" w:rsidRDefault="00E32176" w:rsidP="00E3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97398"/>
      <w:docPartObj>
        <w:docPartGallery w:val="Page Numbers (Bottom of Page)"/>
        <w:docPartUnique/>
      </w:docPartObj>
    </w:sdtPr>
    <w:sdtContent>
      <w:p w:rsidR="00E32176" w:rsidRDefault="00E32176">
        <w:pPr>
          <w:pStyle w:val="Pidipagina"/>
          <w:jc w:val="center"/>
        </w:pPr>
        <w:r>
          <w:fldChar w:fldCharType="begin"/>
        </w:r>
        <w:r>
          <w:instrText>PAGE   \* MERGEFORMAT</w:instrText>
        </w:r>
        <w:r>
          <w:fldChar w:fldCharType="separate"/>
        </w:r>
        <w:r>
          <w:rPr>
            <w:noProof/>
          </w:rPr>
          <w:t>4</w:t>
        </w:r>
        <w:r>
          <w:fldChar w:fldCharType="end"/>
        </w:r>
      </w:p>
    </w:sdtContent>
  </w:sdt>
  <w:p w:rsidR="00E32176" w:rsidRDefault="00E321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76" w:rsidRDefault="00E32176" w:rsidP="00E32176">
      <w:pPr>
        <w:spacing w:after="0" w:line="240" w:lineRule="auto"/>
      </w:pPr>
      <w:r>
        <w:separator/>
      </w:r>
    </w:p>
  </w:footnote>
  <w:footnote w:type="continuationSeparator" w:id="0">
    <w:p w:rsidR="00E32176" w:rsidRDefault="00E32176" w:rsidP="00E32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61864"/>
    <w:multiLevelType w:val="hybridMultilevel"/>
    <w:tmpl w:val="2C3EA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BE16596"/>
    <w:multiLevelType w:val="hybridMultilevel"/>
    <w:tmpl w:val="1C3C9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6D"/>
    <w:rsid w:val="0001536F"/>
    <w:rsid w:val="00015FB4"/>
    <w:rsid w:val="00056934"/>
    <w:rsid w:val="00063080"/>
    <w:rsid w:val="000A73C9"/>
    <w:rsid w:val="000E7E7A"/>
    <w:rsid w:val="000F6562"/>
    <w:rsid w:val="00114861"/>
    <w:rsid w:val="00151162"/>
    <w:rsid w:val="001C115C"/>
    <w:rsid w:val="001F698A"/>
    <w:rsid w:val="001F774D"/>
    <w:rsid w:val="001F78F3"/>
    <w:rsid w:val="00283C48"/>
    <w:rsid w:val="002A3A09"/>
    <w:rsid w:val="002C15AB"/>
    <w:rsid w:val="002D2BE7"/>
    <w:rsid w:val="003107B8"/>
    <w:rsid w:val="00365B7D"/>
    <w:rsid w:val="003C0374"/>
    <w:rsid w:val="003D2C4C"/>
    <w:rsid w:val="003E06C5"/>
    <w:rsid w:val="003F7080"/>
    <w:rsid w:val="00407269"/>
    <w:rsid w:val="00410EDA"/>
    <w:rsid w:val="00413E3A"/>
    <w:rsid w:val="004308F2"/>
    <w:rsid w:val="0043616D"/>
    <w:rsid w:val="004559D3"/>
    <w:rsid w:val="00481865"/>
    <w:rsid w:val="00501D68"/>
    <w:rsid w:val="00510320"/>
    <w:rsid w:val="0053422E"/>
    <w:rsid w:val="0056233D"/>
    <w:rsid w:val="00581E4E"/>
    <w:rsid w:val="005B146B"/>
    <w:rsid w:val="005D04EE"/>
    <w:rsid w:val="005D52F3"/>
    <w:rsid w:val="005D7573"/>
    <w:rsid w:val="005F5B73"/>
    <w:rsid w:val="00606D7C"/>
    <w:rsid w:val="006245BE"/>
    <w:rsid w:val="006922E8"/>
    <w:rsid w:val="006C19DC"/>
    <w:rsid w:val="006C5205"/>
    <w:rsid w:val="006E4744"/>
    <w:rsid w:val="006F2710"/>
    <w:rsid w:val="00731546"/>
    <w:rsid w:val="007345AF"/>
    <w:rsid w:val="00745726"/>
    <w:rsid w:val="007544B8"/>
    <w:rsid w:val="00774A80"/>
    <w:rsid w:val="00793B49"/>
    <w:rsid w:val="00794844"/>
    <w:rsid w:val="007A3AE9"/>
    <w:rsid w:val="007B25B6"/>
    <w:rsid w:val="007D7786"/>
    <w:rsid w:val="00840550"/>
    <w:rsid w:val="00877776"/>
    <w:rsid w:val="00882F0C"/>
    <w:rsid w:val="00900CAC"/>
    <w:rsid w:val="00951384"/>
    <w:rsid w:val="00992149"/>
    <w:rsid w:val="009931FE"/>
    <w:rsid w:val="009B2544"/>
    <w:rsid w:val="00A01F0E"/>
    <w:rsid w:val="00A21F03"/>
    <w:rsid w:val="00A31839"/>
    <w:rsid w:val="00A53FDA"/>
    <w:rsid w:val="00A96FB6"/>
    <w:rsid w:val="00B04113"/>
    <w:rsid w:val="00B16C81"/>
    <w:rsid w:val="00B4197E"/>
    <w:rsid w:val="00B419C4"/>
    <w:rsid w:val="00B42FD5"/>
    <w:rsid w:val="00B651C9"/>
    <w:rsid w:val="00B802E5"/>
    <w:rsid w:val="00B92735"/>
    <w:rsid w:val="00BA05C8"/>
    <w:rsid w:val="00BB0765"/>
    <w:rsid w:val="00BC053B"/>
    <w:rsid w:val="00BD15F8"/>
    <w:rsid w:val="00C10539"/>
    <w:rsid w:val="00C63741"/>
    <w:rsid w:val="00C97E98"/>
    <w:rsid w:val="00CA2D26"/>
    <w:rsid w:val="00CD2984"/>
    <w:rsid w:val="00CD35B6"/>
    <w:rsid w:val="00CE2B42"/>
    <w:rsid w:val="00DB172C"/>
    <w:rsid w:val="00DE08DB"/>
    <w:rsid w:val="00E11862"/>
    <w:rsid w:val="00E32176"/>
    <w:rsid w:val="00E46A16"/>
    <w:rsid w:val="00E82252"/>
    <w:rsid w:val="00EA0D6F"/>
    <w:rsid w:val="00EA4AE1"/>
    <w:rsid w:val="00ED4601"/>
    <w:rsid w:val="00EF4239"/>
    <w:rsid w:val="00F0316D"/>
    <w:rsid w:val="00F049B0"/>
    <w:rsid w:val="00F10563"/>
    <w:rsid w:val="00F31581"/>
    <w:rsid w:val="00F32E56"/>
    <w:rsid w:val="00F3758B"/>
    <w:rsid w:val="00F57521"/>
    <w:rsid w:val="00F6435F"/>
    <w:rsid w:val="00FA00FB"/>
    <w:rsid w:val="00FC6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A21CF-5156-42C9-A660-5B39D771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3A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0316D"/>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1F698A"/>
    <w:pPr>
      <w:ind w:left="720"/>
      <w:contextualSpacing/>
    </w:pPr>
  </w:style>
  <w:style w:type="paragraph" w:styleId="PreformattatoHTML">
    <w:name w:val="HTML Preformatted"/>
    <w:basedOn w:val="Normale"/>
    <w:link w:val="PreformattatoHTMLCarattere"/>
    <w:uiPriority w:val="99"/>
    <w:semiHidden/>
    <w:unhideWhenUsed/>
    <w:rsid w:val="001C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C115C"/>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559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59D3"/>
    <w:rPr>
      <w:rFonts w:ascii="Segoe UI" w:hAnsi="Segoe UI" w:cs="Segoe UI"/>
      <w:sz w:val="18"/>
      <w:szCs w:val="18"/>
    </w:rPr>
  </w:style>
  <w:style w:type="paragraph" w:styleId="NormaleWeb">
    <w:name w:val="Normal (Web)"/>
    <w:basedOn w:val="Normale"/>
    <w:uiPriority w:val="99"/>
    <w:semiHidden/>
    <w:unhideWhenUsed/>
    <w:rsid w:val="00501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321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2176"/>
  </w:style>
  <w:style w:type="paragraph" w:styleId="Pidipagina">
    <w:name w:val="footer"/>
    <w:basedOn w:val="Normale"/>
    <w:link w:val="PidipaginaCarattere"/>
    <w:uiPriority w:val="99"/>
    <w:unhideWhenUsed/>
    <w:rsid w:val="00E321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3875">
      <w:bodyDiv w:val="1"/>
      <w:marLeft w:val="0"/>
      <w:marRight w:val="0"/>
      <w:marTop w:val="0"/>
      <w:marBottom w:val="0"/>
      <w:divBdr>
        <w:top w:val="none" w:sz="0" w:space="0" w:color="auto"/>
        <w:left w:val="none" w:sz="0" w:space="0" w:color="auto"/>
        <w:bottom w:val="none" w:sz="0" w:space="0" w:color="auto"/>
        <w:right w:val="none" w:sz="0" w:space="0" w:color="auto"/>
      </w:divBdr>
    </w:div>
    <w:div w:id="18770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patrizia.lattarulo</dc:creator>
  <cp:lastModifiedBy>IPRES</cp:lastModifiedBy>
  <cp:revision>2</cp:revision>
  <dcterms:created xsi:type="dcterms:W3CDTF">2019-12-04T08:54:00Z</dcterms:created>
  <dcterms:modified xsi:type="dcterms:W3CDTF">2019-12-04T08:54:00Z</dcterms:modified>
</cp:coreProperties>
</file>